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98D1" w14:textId="77777777" w:rsidR="00052B4F" w:rsidRPr="008C3094" w:rsidRDefault="00052B4F" w:rsidP="00052B4F">
      <w:pPr>
        <w:jc w:val="center"/>
        <w:rPr>
          <w:b/>
          <w:bCs/>
          <w:color w:val="FFFFFF" w:themeColor="background1"/>
        </w:rPr>
      </w:pPr>
      <w:r w:rsidRPr="008C3094">
        <w:rPr>
          <w:b/>
          <w:bCs/>
        </w:rPr>
        <w:t>DEGREE OUTCOMES STATEMENT 2021</w:t>
      </w:r>
    </w:p>
    <w:p w14:paraId="6DDD761F" w14:textId="77777777" w:rsidR="00052B4F" w:rsidRDefault="00052B4F" w:rsidP="00052B4F">
      <w:pPr>
        <w:rPr>
          <w:b/>
          <w:bCs/>
          <w:color w:val="FFFFFF" w:themeColor="background1"/>
          <w:sz w:val="20"/>
          <w:szCs w:val="18"/>
        </w:rPr>
      </w:pPr>
    </w:p>
    <w:p w14:paraId="64096830"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1</w:t>
      </w:r>
      <w:r w:rsidRPr="001A4939">
        <w:rPr>
          <w:b/>
          <w:bCs/>
          <w:color w:val="FFFFFF" w:themeColor="background1"/>
          <w:sz w:val="20"/>
          <w:szCs w:val="18"/>
        </w:rPr>
        <w:tab/>
        <w:t>Institutional degree classification profile</w:t>
      </w:r>
    </w:p>
    <w:p w14:paraId="57EEED0D" w14:textId="77777777" w:rsidR="00052B4F" w:rsidRDefault="00052B4F" w:rsidP="00052B4F">
      <w:pPr>
        <w:rPr>
          <w:sz w:val="20"/>
          <w:szCs w:val="18"/>
        </w:rPr>
      </w:pPr>
    </w:p>
    <w:p w14:paraId="0408EFFB" w14:textId="77777777" w:rsidR="00052B4F" w:rsidRDefault="00052B4F" w:rsidP="00052B4F">
      <w:pPr>
        <w:rPr>
          <w:sz w:val="21"/>
          <w:szCs w:val="20"/>
        </w:rPr>
      </w:pPr>
      <w:r w:rsidRPr="000C68BA">
        <w:rPr>
          <w:sz w:val="20"/>
          <w:szCs w:val="18"/>
        </w:rPr>
        <w:t>The Royal Central School of Speech and Drama is a highly selecting, specialist conservatoire in drama, awarding University of London degrees. Central’s undergraduate students have, over the last 5 years, received on average 80-90% good awards, in line with other specialist arts providers according to statistics published by the Office for Students:</w:t>
      </w:r>
    </w:p>
    <w:tbl>
      <w:tblPr>
        <w:tblW w:w="5000" w:type="pct"/>
        <w:tblLayout w:type="fixed"/>
        <w:tblLook w:val="04A0" w:firstRow="1" w:lastRow="0" w:firstColumn="1" w:lastColumn="0" w:noHBand="0" w:noVBand="1"/>
      </w:tblPr>
      <w:tblGrid>
        <w:gridCol w:w="1134"/>
        <w:gridCol w:w="1138"/>
        <w:gridCol w:w="1638"/>
        <w:gridCol w:w="1479"/>
        <w:gridCol w:w="1797"/>
        <w:gridCol w:w="1753"/>
        <w:gridCol w:w="1521"/>
      </w:tblGrid>
      <w:tr w:rsidR="00052B4F" w:rsidRPr="0065626D" w14:paraId="72D569E2" w14:textId="77777777" w:rsidTr="00392D28">
        <w:trPr>
          <w:trHeight w:val="170"/>
        </w:trPr>
        <w:tc>
          <w:tcPr>
            <w:tcW w:w="542" w:type="pct"/>
            <w:shd w:val="clear" w:color="auto" w:fill="auto"/>
            <w:noWrap/>
            <w:vAlign w:val="bottom"/>
            <w:hideMark/>
          </w:tcPr>
          <w:p w14:paraId="65EB2502" w14:textId="77777777" w:rsidR="00052B4F" w:rsidRPr="0065626D" w:rsidRDefault="00052B4F" w:rsidP="00392D28">
            <w:pPr>
              <w:rPr>
                <w:rFonts w:eastAsia="Times New Roman" w:cs="Open Sans"/>
                <w:b/>
                <w:bCs/>
                <w:sz w:val="20"/>
                <w:szCs w:val="20"/>
                <w:lang w:eastAsia="en-GB"/>
              </w:rPr>
            </w:pPr>
          </w:p>
        </w:tc>
        <w:tc>
          <w:tcPr>
            <w:tcW w:w="544" w:type="pct"/>
            <w:vAlign w:val="bottom"/>
          </w:tcPr>
          <w:p w14:paraId="08F799BE" w14:textId="77777777" w:rsidR="00052B4F" w:rsidRPr="0065626D" w:rsidRDefault="00052B4F" w:rsidP="00392D28">
            <w:pPr>
              <w:jc w:val="center"/>
              <w:rPr>
                <w:rFonts w:eastAsia="Times New Roman" w:cs="Open Sans"/>
                <w:b/>
                <w:bCs/>
                <w:sz w:val="16"/>
                <w:szCs w:val="16"/>
                <w:lang w:eastAsia="en-GB"/>
              </w:rPr>
            </w:pPr>
            <w:r w:rsidRPr="0065626D">
              <w:rPr>
                <w:rFonts w:eastAsia="Times New Roman" w:cs="Open Sans"/>
                <w:b/>
                <w:bCs/>
                <w:sz w:val="16"/>
                <w:szCs w:val="16"/>
                <w:lang w:eastAsia="en-GB"/>
              </w:rPr>
              <w:t>Headcount (rounded)</w:t>
            </w:r>
          </w:p>
        </w:tc>
        <w:tc>
          <w:tcPr>
            <w:tcW w:w="783" w:type="pct"/>
            <w:vAlign w:val="bottom"/>
          </w:tcPr>
          <w:p w14:paraId="1DD1C399" w14:textId="77777777" w:rsidR="00052B4F" w:rsidRPr="0065626D" w:rsidRDefault="00052B4F" w:rsidP="00392D28">
            <w:pPr>
              <w:jc w:val="center"/>
              <w:rPr>
                <w:rFonts w:eastAsia="Times New Roman" w:cs="Open Sans"/>
                <w:b/>
                <w:bCs/>
                <w:sz w:val="16"/>
                <w:szCs w:val="16"/>
                <w:lang w:eastAsia="en-GB"/>
              </w:rPr>
            </w:pPr>
            <w:r>
              <w:rPr>
                <w:rFonts w:eastAsia="Times New Roman" w:cs="Open Sans"/>
                <w:b/>
                <w:bCs/>
                <w:sz w:val="16"/>
                <w:szCs w:val="16"/>
                <w:lang w:eastAsia="en-GB"/>
              </w:rPr>
              <w:t>Good Honours (1</w:t>
            </w:r>
            <w:r w:rsidRPr="000C252B">
              <w:rPr>
                <w:rFonts w:eastAsia="Times New Roman" w:cs="Open Sans"/>
                <w:b/>
                <w:bCs/>
                <w:sz w:val="16"/>
                <w:szCs w:val="16"/>
                <w:vertAlign w:val="superscript"/>
                <w:lang w:eastAsia="en-GB"/>
              </w:rPr>
              <w:t>st</w:t>
            </w:r>
            <w:r>
              <w:rPr>
                <w:rFonts w:eastAsia="Times New Roman" w:cs="Open Sans"/>
                <w:b/>
                <w:bCs/>
                <w:sz w:val="16"/>
                <w:szCs w:val="16"/>
                <w:lang w:eastAsia="en-GB"/>
              </w:rPr>
              <w:t xml:space="preserve"> and 2:1)</w:t>
            </w:r>
          </w:p>
        </w:tc>
        <w:tc>
          <w:tcPr>
            <w:tcW w:w="707" w:type="pct"/>
            <w:shd w:val="clear" w:color="auto" w:fill="auto"/>
            <w:noWrap/>
            <w:vAlign w:val="bottom"/>
            <w:hideMark/>
          </w:tcPr>
          <w:p w14:paraId="1349998E" w14:textId="77777777" w:rsidR="00052B4F" w:rsidRPr="0065626D" w:rsidRDefault="00052B4F" w:rsidP="00392D28">
            <w:pPr>
              <w:jc w:val="center"/>
              <w:rPr>
                <w:rFonts w:eastAsia="Times New Roman" w:cs="Open Sans"/>
                <w:b/>
                <w:bCs/>
                <w:sz w:val="16"/>
                <w:szCs w:val="16"/>
                <w:lang w:eastAsia="en-GB"/>
              </w:rPr>
            </w:pPr>
            <w:r w:rsidRPr="0065626D">
              <w:rPr>
                <w:rFonts w:eastAsia="Times New Roman" w:cs="Open Sans"/>
                <w:b/>
                <w:bCs/>
                <w:sz w:val="16"/>
                <w:szCs w:val="16"/>
                <w:lang w:eastAsia="en-GB"/>
              </w:rPr>
              <w:t>First Class Honours (1</w:t>
            </w:r>
            <w:r w:rsidRPr="0065626D">
              <w:rPr>
                <w:rFonts w:eastAsia="Times New Roman" w:cs="Open Sans"/>
                <w:b/>
                <w:bCs/>
                <w:sz w:val="16"/>
                <w:szCs w:val="16"/>
                <w:vertAlign w:val="superscript"/>
                <w:lang w:eastAsia="en-GB"/>
              </w:rPr>
              <w:t>st</w:t>
            </w:r>
            <w:r w:rsidRPr="0065626D">
              <w:rPr>
                <w:rFonts w:eastAsia="Times New Roman" w:cs="Open Sans"/>
                <w:b/>
                <w:bCs/>
                <w:sz w:val="16"/>
                <w:szCs w:val="16"/>
                <w:lang w:eastAsia="en-GB"/>
              </w:rPr>
              <w:t>)</w:t>
            </w:r>
          </w:p>
        </w:tc>
        <w:tc>
          <w:tcPr>
            <w:tcW w:w="859" w:type="pct"/>
            <w:shd w:val="clear" w:color="auto" w:fill="auto"/>
            <w:noWrap/>
            <w:vAlign w:val="bottom"/>
            <w:hideMark/>
          </w:tcPr>
          <w:p w14:paraId="09948F51" w14:textId="77777777" w:rsidR="00052B4F" w:rsidRPr="0065626D" w:rsidRDefault="00052B4F" w:rsidP="00392D28">
            <w:pPr>
              <w:jc w:val="center"/>
              <w:rPr>
                <w:rFonts w:eastAsia="Times New Roman" w:cs="Open Sans"/>
                <w:b/>
                <w:bCs/>
                <w:sz w:val="16"/>
                <w:szCs w:val="16"/>
                <w:lang w:eastAsia="en-GB"/>
              </w:rPr>
            </w:pPr>
            <w:r w:rsidRPr="0065626D">
              <w:rPr>
                <w:rFonts w:eastAsia="Times New Roman" w:cs="Open Sans"/>
                <w:b/>
                <w:bCs/>
                <w:sz w:val="16"/>
                <w:szCs w:val="16"/>
                <w:lang w:eastAsia="en-GB"/>
              </w:rPr>
              <w:t>Upper Second Class Honours (2:1)</w:t>
            </w:r>
          </w:p>
        </w:tc>
        <w:tc>
          <w:tcPr>
            <w:tcW w:w="838" w:type="pct"/>
            <w:shd w:val="clear" w:color="auto" w:fill="auto"/>
            <w:noWrap/>
            <w:vAlign w:val="bottom"/>
            <w:hideMark/>
          </w:tcPr>
          <w:p w14:paraId="234AC8C8" w14:textId="77777777" w:rsidR="00052B4F" w:rsidRPr="0065626D" w:rsidRDefault="00052B4F" w:rsidP="00392D28">
            <w:pPr>
              <w:jc w:val="center"/>
              <w:rPr>
                <w:rFonts w:eastAsia="Times New Roman" w:cs="Open Sans"/>
                <w:b/>
                <w:bCs/>
                <w:sz w:val="16"/>
                <w:szCs w:val="16"/>
                <w:lang w:eastAsia="en-GB"/>
              </w:rPr>
            </w:pPr>
            <w:r w:rsidRPr="0065626D">
              <w:rPr>
                <w:rFonts w:eastAsia="Times New Roman" w:cs="Open Sans"/>
                <w:b/>
                <w:bCs/>
                <w:sz w:val="16"/>
                <w:szCs w:val="16"/>
                <w:lang w:eastAsia="en-GB"/>
              </w:rPr>
              <w:t>Lower Second Class Honours (2:2)</w:t>
            </w:r>
          </w:p>
        </w:tc>
        <w:tc>
          <w:tcPr>
            <w:tcW w:w="728" w:type="pct"/>
            <w:shd w:val="clear" w:color="auto" w:fill="auto"/>
            <w:noWrap/>
            <w:vAlign w:val="bottom"/>
            <w:hideMark/>
          </w:tcPr>
          <w:p w14:paraId="07055689" w14:textId="77777777" w:rsidR="00052B4F" w:rsidRPr="0065626D" w:rsidRDefault="00052B4F" w:rsidP="00392D28">
            <w:pPr>
              <w:jc w:val="center"/>
              <w:rPr>
                <w:rFonts w:eastAsia="Times New Roman" w:cs="Open Sans"/>
                <w:b/>
                <w:bCs/>
                <w:sz w:val="16"/>
                <w:szCs w:val="16"/>
                <w:lang w:eastAsia="en-GB"/>
              </w:rPr>
            </w:pPr>
            <w:r w:rsidRPr="0065626D">
              <w:rPr>
                <w:rFonts w:eastAsia="Times New Roman" w:cs="Open Sans"/>
                <w:b/>
                <w:bCs/>
                <w:sz w:val="16"/>
                <w:szCs w:val="16"/>
                <w:lang w:eastAsia="en-GB"/>
              </w:rPr>
              <w:t>Third Class Honours (3</w:t>
            </w:r>
            <w:r w:rsidRPr="0065626D">
              <w:rPr>
                <w:rFonts w:eastAsia="Times New Roman" w:cs="Open Sans"/>
                <w:b/>
                <w:bCs/>
                <w:sz w:val="16"/>
                <w:szCs w:val="16"/>
                <w:vertAlign w:val="superscript"/>
                <w:lang w:eastAsia="en-GB"/>
              </w:rPr>
              <w:t>rd</w:t>
            </w:r>
            <w:r w:rsidRPr="0065626D">
              <w:rPr>
                <w:rFonts w:eastAsia="Times New Roman" w:cs="Open Sans"/>
                <w:b/>
                <w:bCs/>
                <w:sz w:val="16"/>
                <w:szCs w:val="16"/>
                <w:lang w:eastAsia="en-GB"/>
              </w:rPr>
              <w:t>)</w:t>
            </w:r>
          </w:p>
        </w:tc>
      </w:tr>
      <w:tr w:rsidR="00052B4F" w:rsidRPr="0065626D" w14:paraId="7DD26F7D" w14:textId="77777777" w:rsidTr="00392D28">
        <w:trPr>
          <w:trHeight w:val="170"/>
        </w:trPr>
        <w:tc>
          <w:tcPr>
            <w:tcW w:w="542" w:type="pct"/>
            <w:shd w:val="clear" w:color="auto" w:fill="auto"/>
            <w:noWrap/>
            <w:vAlign w:val="center"/>
            <w:hideMark/>
          </w:tcPr>
          <w:p w14:paraId="004BF213" w14:textId="77777777" w:rsidR="00052B4F" w:rsidRPr="0065626D" w:rsidRDefault="00052B4F" w:rsidP="00392D28">
            <w:pPr>
              <w:rPr>
                <w:rFonts w:eastAsia="Times New Roman" w:cs="Open Sans"/>
                <w:i/>
                <w:iCs/>
                <w:sz w:val="20"/>
                <w:szCs w:val="20"/>
                <w:lang w:eastAsia="en-GB"/>
              </w:rPr>
            </w:pPr>
            <w:r w:rsidRPr="0065626D">
              <w:rPr>
                <w:rFonts w:eastAsia="Times New Roman" w:cs="Open Sans"/>
                <w:i/>
                <w:iCs/>
                <w:sz w:val="20"/>
                <w:szCs w:val="20"/>
                <w:lang w:eastAsia="en-GB"/>
              </w:rPr>
              <w:t>2015/16</w:t>
            </w:r>
          </w:p>
        </w:tc>
        <w:tc>
          <w:tcPr>
            <w:tcW w:w="544" w:type="pct"/>
            <w:vAlign w:val="center"/>
          </w:tcPr>
          <w:p w14:paraId="7C9276D3" w14:textId="77777777" w:rsidR="00052B4F" w:rsidRPr="0065626D" w:rsidRDefault="00052B4F" w:rsidP="00392D28">
            <w:pPr>
              <w:jc w:val="center"/>
              <w:rPr>
                <w:rFonts w:eastAsia="Times New Roman" w:cs="Open Sans"/>
                <w:sz w:val="20"/>
                <w:szCs w:val="20"/>
                <w:lang w:eastAsia="en-GB"/>
              </w:rPr>
            </w:pPr>
            <w:r w:rsidRPr="0065626D">
              <w:rPr>
                <w:rFonts w:cs="Open Sans"/>
                <w:color w:val="000000"/>
                <w:sz w:val="20"/>
                <w:szCs w:val="20"/>
              </w:rPr>
              <w:t>205</w:t>
            </w:r>
          </w:p>
        </w:tc>
        <w:tc>
          <w:tcPr>
            <w:tcW w:w="783" w:type="pct"/>
            <w:vAlign w:val="center"/>
          </w:tcPr>
          <w:p w14:paraId="19E57823" w14:textId="77777777" w:rsidR="00052B4F" w:rsidRPr="001437E1" w:rsidRDefault="00052B4F" w:rsidP="00392D28">
            <w:pPr>
              <w:jc w:val="center"/>
              <w:rPr>
                <w:rFonts w:cs="Open Sans"/>
                <w:sz w:val="20"/>
                <w:szCs w:val="20"/>
              </w:rPr>
            </w:pPr>
            <w:r w:rsidRPr="001437E1">
              <w:rPr>
                <w:rFonts w:cs="Open Sans"/>
                <w:color w:val="000000"/>
                <w:sz w:val="20"/>
                <w:szCs w:val="20"/>
              </w:rPr>
              <w:t>87%</w:t>
            </w:r>
          </w:p>
        </w:tc>
        <w:tc>
          <w:tcPr>
            <w:tcW w:w="707" w:type="pct"/>
            <w:shd w:val="clear" w:color="auto" w:fill="auto"/>
            <w:noWrap/>
            <w:vAlign w:val="center"/>
            <w:hideMark/>
          </w:tcPr>
          <w:p w14:paraId="133EA5C4"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25%</w:t>
            </w:r>
          </w:p>
        </w:tc>
        <w:tc>
          <w:tcPr>
            <w:tcW w:w="859" w:type="pct"/>
            <w:shd w:val="clear" w:color="auto" w:fill="auto"/>
            <w:noWrap/>
            <w:vAlign w:val="center"/>
            <w:hideMark/>
          </w:tcPr>
          <w:p w14:paraId="656A1BE1"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61%</w:t>
            </w:r>
          </w:p>
        </w:tc>
        <w:tc>
          <w:tcPr>
            <w:tcW w:w="838" w:type="pct"/>
            <w:shd w:val="clear" w:color="auto" w:fill="auto"/>
            <w:noWrap/>
            <w:vAlign w:val="center"/>
            <w:hideMark/>
          </w:tcPr>
          <w:p w14:paraId="32BC721D"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10%</w:t>
            </w:r>
          </w:p>
        </w:tc>
        <w:tc>
          <w:tcPr>
            <w:tcW w:w="728" w:type="pct"/>
            <w:shd w:val="clear" w:color="auto" w:fill="auto"/>
            <w:noWrap/>
            <w:vAlign w:val="center"/>
            <w:hideMark/>
          </w:tcPr>
          <w:p w14:paraId="0272812E"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0%</w:t>
            </w:r>
          </w:p>
        </w:tc>
      </w:tr>
      <w:tr w:rsidR="00052B4F" w:rsidRPr="0065626D" w14:paraId="65E6C254" w14:textId="77777777" w:rsidTr="00392D28">
        <w:trPr>
          <w:trHeight w:val="170"/>
        </w:trPr>
        <w:tc>
          <w:tcPr>
            <w:tcW w:w="542" w:type="pct"/>
            <w:shd w:val="clear" w:color="auto" w:fill="auto"/>
            <w:noWrap/>
            <w:vAlign w:val="center"/>
            <w:hideMark/>
          </w:tcPr>
          <w:p w14:paraId="0D0C0DF2" w14:textId="77777777" w:rsidR="00052B4F" w:rsidRPr="0065626D" w:rsidRDefault="00052B4F" w:rsidP="00392D28">
            <w:pPr>
              <w:rPr>
                <w:rFonts w:eastAsia="Times New Roman" w:cs="Open Sans"/>
                <w:i/>
                <w:iCs/>
                <w:sz w:val="20"/>
                <w:szCs w:val="20"/>
                <w:lang w:eastAsia="en-GB"/>
              </w:rPr>
            </w:pPr>
            <w:r w:rsidRPr="0065626D">
              <w:rPr>
                <w:rFonts w:eastAsia="Times New Roman" w:cs="Open Sans"/>
                <w:i/>
                <w:iCs/>
                <w:sz w:val="20"/>
                <w:szCs w:val="20"/>
                <w:lang w:eastAsia="en-GB"/>
              </w:rPr>
              <w:t>2016/17</w:t>
            </w:r>
          </w:p>
        </w:tc>
        <w:tc>
          <w:tcPr>
            <w:tcW w:w="544" w:type="pct"/>
            <w:vAlign w:val="center"/>
          </w:tcPr>
          <w:p w14:paraId="227FA6F3" w14:textId="77777777" w:rsidR="00052B4F" w:rsidRPr="0065626D" w:rsidRDefault="00052B4F" w:rsidP="00392D28">
            <w:pPr>
              <w:jc w:val="center"/>
              <w:rPr>
                <w:rFonts w:eastAsia="Times New Roman" w:cs="Open Sans"/>
                <w:sz w:val="20"/>
                <w:szCs w:val="20"/>
                <w:lang w:eastAsia="en-GB"/>
              </w:rPr>
            </w:pPr>
            <w:r w:rsidRPr="0065626D">
              <w:rPr>
                <w:rFonts w:cs="Open Sans"/>
                <w:color w:val="000000"/>
                <w:sz w:val="20"/>
                <w:szCs w:val="20"/>
              </w:rPr>
              <w:t>200</w:t>
            </w:r>
          </w:p>
        </w:tc>
        <w:tc>
          <w:tcPr>
            <w:tcW w:w="783" w:type="pct"/>
            <w:vAlign w:val="center"/>
          </w:tcPr>
          <w:p w14:paraId="16348E4C" w14:textId="77777777" w:rsidR="00052B4F" w:rsidRPr="001437E1" w:rsidRDefault="00052B4F" w:rsidP="00392D28">
            <w:pPr>
              <w:jc w:val="center"/>
              <w:rPr>
                <w:rFonts w:cs="Open Sans"/>
                <w:sz w:val="20"/>
                <w:szCs w:val="20"/>
              </w:rPr>
            </w:pPr>
            <w:r w:rsidRPr="001437E1">
              <w:rPr>
                <w:rFonts w:cs="Open Sans"/>
                <w:color w:val="000000"/>
                <w:sz w:val="20"/>
                <w:szCs w:val="20"/>
              </w:rPr>
              <w:t>85%</w:t>
            </w:r>
          </w:p>
        </w:tc>
        <w:tc>
          <w:tcPr>
            <w:tcW w:w="707" w:type="pct"/>
            <w:shd w:val="clear" w:color="auto" w:fill="auto"/>
            <w:noWrap/>
            <w:vAlign w:val="center"/>
            <w:hideMark/>
          </w:tcPr>
          <w:p w14:paraId="7943C12A"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29%</w:t>
            </w:r>
          </w:p>
        </w:tc>
        <w:tc>
          <w:tcPr>
            <w:tcW w:w="859" w:type="pct"/>
            <w:shd w:val="clear" w:color="auto" w:fill="auto"/>
            <w:noWrap/>
            <w:vAlign w:val="center"/>
            <w:hideMark/>
          </w:tcPr>
          <w:p w14:paraId="37565401"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56%</w:t>
            </w:r>
          </w:p>
        </w:tc>
        <w:tc>
          <w:tcPr>
            <w:tcW w:w="838" w:type="pct"/>
            <w:shd w:val="clear" w:color="auto" w:fill="auto"/>
            <w:noWrap/>
            <w:vAlign w:val="center"/>
            <w:hideMark/>
          </w:tcPr>
          <w:p w14:paraId="05E18C00"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9%</w:t>
            </w:r>
          </w:p>
        </w:tc>
        <w:tc>
          <w:tcPr>
            <w:tcW w:w="728" w:type="pct"/>
            <w:shd w:val="clear" w:color="auto" w:fill="auto"/>
            <w:noWrap/>
            <w:vAlign w:val="center"/>
            <w:hideMark/>
          </w:tcPr>
          <w:p w14:paraId="38C4831D"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1%</w:t>
            </w:r>
          </w:p>
        </w:tc>
      </w:tr>
      <w:tr w:rsidR="00052B4F" w:rsidRPr="0065626D" w14:paraId="6E5C08CD" w14:textId="77777777" w:rsidTr="00392D28">
        <w:trPr>
          <w:trHeight w:val="170"/>
        </w:trPr>
        <w:tc>
          <w:tcPr>
            <w:tcW w:w="542" w:type="pct"/>
            <w:shd w:val="clear" w:color="auto" w:fill="auto"/>
            <w:noWrap/>
            <w:vAlign w:val="center"/>
            <w:hideMark/>
          </w:tcPr>
          <w:p w14:paraId="60BA05B4" w14:textId="77777777" w:rsidR="00052B4F" w:rsidRPr="0065626D" w:rsidRDefault="00052B4F" w:rsidP="00392D28">
            <w:pPr>
              <w:rPr>
                <w:rFonts w:eastAsia="Times New Roman" w:cs="Open Sans"/>
                <w:i/>
                <w:iCs/>
                <w:sz w:val="20"/>
                <w:szCs w:val="20"/>
                <w:lang w:eastAsia="en-GB"/>
              </w:rPr>
            </w:pPr>
            <w:r w:rsidRPr="0065626D">
              <w:rPr>
                <w:rFonts w:eastAsia="Times New Roman" w:cs="Open Sans"/>
                <w:i/>
                <w:iCs/>
                <w:sz w:val="20"/>
                <w:szCs w:val="20"/>
                <w:lang w:eastAsia="en-GB"/>
              </w:rPr>
              <w:t>2017/18</w:t>
            </w:r>
          </w:p>
        </w:tc>
        <w:tc>
          <w:tcPr>
            <w:tcW w:w="544" w:type="pct"/>
            <w:vAlign w:val="center"/>
          </w:tcPr>
          <w:p w14:paraId="5B79A786" w14:textId="77777777" w:rsidR="00052B4F" w:rsidRPr="0065626D" w:rsidRDefault="00052B4F" w:rsidP="00392D28">
            <w:pPr>
              <w:jc w:val="center"/>
              <w:rPr>
                <w:rFonts w:eastAsia="Times New Roman" w:cs="Open Sans"/>
                <w:sz w:val="20"/>
                <w:szCs w:val="20"/>
                <w:lang w:eastAsia="en-GB"/>
              </w:rPr>
            </w:pPr>
            <w:r w:rsidRPr="0065626D">
              <w:rPr>
                <w:rFonts w:cs="Open Sans"/>
                <w:color w:val="000000"/>
                <w:sz w:val="20"/>
                <w:szCs w:val="20"/>
              </w:rPr>
              <w:t>240</w:t>
            </w:r>
          </w:p>
        </w:tc>
        <w:tc>
          <w:tcPr>
            <w:tcW w:w="783" w:type="pct"/>
            <w:vAlign w:val="center"/>
          </w:tcPr>
          <w:p w14:paraId="651CB76A" w14:textId="77777777" w:rsidR="00052B4F" w:rsidRPr="001437E1" w:rsidRDefault="00052B4F" w:rsidP="00392D28">
            <w:pPr>
              <w:jc w:val="center"/>
              <w:rPr>
                <w:rFonts w:cs="Open Sans"/>
                <w:sz w:val="20"/>
                <w:szCs w:val="20"/>
              </w:rPr>
            </w:pPr>
            <w:r w:rsidRPr="001437E1">
              <w:rPr>
                <w:rFonts w:cs="Open Sans"/>
                <w:color w:val="000000"/>
                <w:sz w:val="20"/>
                <w:szCs w:val="20"/>
              </w:rPr>
              <w:t>83%</w:t>
            </w:r>
          </w:p>
        </w:tc>
        <w:tc>
          <w:tcPr>
            <w:tcW w:w="707" w:type="pct"/>
            <w:shd w:val="clear" w:color="auto" w:fill="auto"/>
            <w:noWrap/>
            <w:vAlign w:val="center"/>
            <w:hideMark/>
          </w:tcPr>
          <w:p w14:paraId="19B54164"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25%</w:t>
            </w:r>
          </w:p>
        </w:tc>
        <w:tc>
          <w:tcPr>
            <w:tcW w:w="859" w:type="pct"/>
            <w:shd w:val="clear" w:color="auto" w:fill="auto"/>
            <w:noWrap/>
            <w:vAlign w:val="center"/>
            <w:hideMark/>
          </w:tcPr>
          <w:p w14:paraId="599A51AC"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57%</w:t>
            </w:r>
          </w:p>
        </w:tc>
        <w:tc>
          <w:tcPr>
            <w:tcW w:w="838" w:type="pct"/>
            <w:shd w:val="clear" w:color="auto" w:fill="auto"/>
            <w:noWrap/>
            <w:vAlign w:val="center"/>
            <w:hideMark/>
          </w:tcPr>
          <w:p w14:paraId="103C241B"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11%</w:t>
            </w:r>
          </w:p>
        </w:tc>
        <w:tc>
          <w:tcPr>
            <w:tcW w:w="728" w:type="pct"/>
            <w:shd w:val="clear" w:color="auto" w:fill="auto"/>
            <w:noWrap/>
            <w:vAlign w:val="center"/>
            <w:hideMark/>
          </w:tcPr>
          <w:p w14:paraId="6E41D382"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1%</w:t>
            </w:r>
          </w:p>
        </w:tc>
      </w:tr>
      <w:tr w:rsidR="00052B4F" w:rsidRPr="0065626D" w14:paraId="1750A9D4" w14:textId="77777777" w:rsidTr="00392D28">
        <w:trPr>
          <w:trHeight w:val="170"/>
        </w:trPr>
        <w:tc>
          <w:tcPr>
            <w:tcW w:w="542" w:type="pct"/>
            <w:shd w:val="clear" w:color="auto" w:fill="auto"/>
            <w:noWrap/>
            <w:vAlign w:val="center"/>
            <w:hideMark/>
          </w:tcPr>
          <w:p w14:paraId="5BCA93F0" w14:textId="77777777" w:rsidR="00052B4F" w:rsidRPr="0065626D" w:rsidRDefault="00052B4F" w:rsidP="00392D28">
            <w:pPr>
              <w:rPr>
                <w:rFonts w:eastAsia="Times New Roman" w:cs="Open Sans"/>
                <w:i/>
                <w:iCs/>
                <w:sz w:val="20"/>
                <w:szCs w:val="20"/>
                <w:lang w:eastAsia="en-GB"/>
              </w:rPr>
            </w:pPr>
            <w:r w:rsidRPr="0065626D">
              <w:rPr>
                <w:rFonts w:eastAsia="Times New Roman" w:cs="Open Sans"/>
                <w:i/>
                <w:iCs/>
                <w:sz w:val="20"/>
                <w:szCs w:val="20"/>
                <w:lang w:eastAsia="en-GB"/>
              </w:rPr>
              <w:t>2018/19</w:t>
            </w:r>
          </w:p>
        </w:tc>
        <w:tc>
          <w:tcPr>
            <w:tcW w:w="544" w:type="pct"/>
            <w:vAlign w:val="center"/>
          </w:tcPr>
          <w:p w14:paraId="059A3495" w14:textId="77777777" w:rsidR="00052B4F" w:rsidRPr="0065626D" w:rsidRDefault="00052B4F" w:rsidP="00392D28">
            <w:pPr>
              <w:jc w:val="center"/>
              <w:rPr>
                <w:rFonts w:eastAsia="Times New Roman" w:cs="Open Sans"/>
                <w:sz w:val="20"/>
                <w:szCs w:val="20"/>
                <w:lang w:eastAsia="en-GB"/>
              </w:rPr>
            </w:pPr>
            <w:r w:rsidRPr="0065626D">
              <w:rPr>
                <w:rFonts w:cs="Open Sans"/>
                <w:color w:val="000000"/>
                <w:sz w:val="20"/>
                <w:szCs w:val="20"/>
              </w:rPr>
              <w:t>230</w:t>
            </w:r>
          </w:p>
        </w:tc>
        <w:tc>
          <w:tcPr>
            <w:tcW w:w="783" w:type="pct"/>
            <w:vAlign w:val="center"/>
          </w:tcPr>
          <w:p w14:paraId="07DFFC2B" w14:textId="77777777" w:rsidR="00052B4F" w:rsidRPr="001437E1" w:rsidRDefault="00052B4F" w:rsidP="00392D28">
            <w:pPr>
              <w:jc w:val="center"/>
              <w:rPr>
                <w:rFonts w:cs="Open Sans"/>
                <w:sz w:val="20"/>
                <w:szCs w:val="20"/>
              </w:rPr>
            </w:pPr>
            <w:r w:rsidRPr="001437E1">
              <w:rPr>
                <w:rFonts w:cs="Open Sans"/>
                <w:color w:val="000000"/>
                <w:sz w:val="20"/>
                <w:szCs w:val="20"/>
              </w:rPr>
              <w:t>83%</w:t>
            </w:r>
          </w:p>
        </w:tc>
        <w:tc>
          <w:tcPr>
            <w:tcW w:w="707" w:type="pct"/>
            <w:shd w:val="clear" w:color="auto" w:fill="auto"/>
            <w:noWrap/>
            <w:vAlign w:val="center"/>
            <w:hideMark/>
          </w:tcPr>
          <w:p w14:paraId="36D9AE66"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31%</w:t>
            </w:r>
          </w:p>
        </w:tc>
        <w:tc>
          <w:tcPr>
            <w:tcW w:w="859" w:type="pct"/>
            <w:shd w:val="clear" w:color="auto" w:fill="auto"/>
            <w:noWrap/>
            <w:vAlign w:val="center"/>
            <w:hideMark/>
          </w:tcPr>
          <w:p w14:paraId="58046269"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53%</w:t>
            </w:r>
          </w:p>
        </w:tc>
        <w:tc>
          <w:tcPr>
            <w:tcW w:w="838" w:type="pct"/>
            <w:shd w:val="clear" w:color="auto" w:fill="auto"/>
            <w:noWrap/>
            <w:vAlign w:val="center"/>
            <w:hideMark/>
          </w:tcPr>
          <w:p w14:paraId="3B402A71"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9%</w:t>
            </w:r>
          </w:p>
        </w:tc>
        <w:tc>
          <w:tcPr>
            <w:tcW w:w="728" w:type="pct"/>
            <w:shd w:val="clear" w:color="auto" w:fill="auto"/>
            <w:noWrap/>
            <w:vAlign w:val="center"/>
            <w:hideMark/>
          </w:tcPr>
          <w:p w14:paraId="27A8F1CA"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0%</w:t>
            </w:r>
          </w:p>
        </w:tc>
      </w:tr>
      <w:tr w:rsidR="00052B4F" w:rsidRPr="0065626D" w14:paraId="644B72BE" w14:textId="77777777" w:rsidTr="00392D28">
        <w:trPr>
          <w:trHeight w:val="170"/>
        </w:trPr>
        <w:tc>
          <w:tcPr>
            <w:tcW w:w="542" w:type="pct"/>
            <w:shd w:val="clear" w:color="auto" w:fill="auto"/>
            <w:noWrap/>
            <w:vAlign w:val="center"/>
            <w:hideMark/>
          </w:tcPr>
          <w:p w14:paraId="0C8FDC85" w14:textId="77777777" w:rsidR="00052B4F" w:rsidRPr="0065626D" w:rsidRDefault="00052B4F" w:rsidP="00392D28">
            <w:pPr>
              <w:rPr>
                <w:rFonts w:eastAsia="Times New Roman" w:cs="Open Sans"/>
                <w:i/>
                <w:iCs/>
                <w:sz w:val="20"/>
                <w:szCs w:val="20"/>
                <w:lang w:eastAsia="en-GB"/>
              </w:rPr>
            </w:pPr>
            <w:r w:rsidRPr="0065626D">
              <w:rPr>
                <w:rFonts w:eastAsia="Times New Roman" w:cs="Open Sans"/>
                <w:i/>
                <w:iCs/>
                <w:sz w:val="20"/>
                <w:szCs w:val="20"/>
                <w:lang w:eastAsia="en-GB"/>
              </w:rPr>
              <w:t>2019/20</w:t>
            </w:r>
          </w:p>
        </w:tc>
        <w:tc>
          <w:tcPr>
            <w:tcW w:w="544" w:type="pct"/>
            <w:vAlign w:val="center"/>
          </w:tcPr>
          <w:p w14:paraId="060B9E21" w14:textId="77777777" w:rsidR="00052B4F" w:rsidRPr="0065626D" w:rsidRDefault="00052B4F" w:rsidP="00392D28">
            <w:pPr>
              <w:jc w:val="center"/>
              <w:rPr>
                <w:rFonts w:eastAsia="Times New Roman" w:cs="Open Sans"/>
                <w:sz w:val="20"/>
                <w:szCs w:val="20"/>
                <w:lang w:eastAsia="en-GB"/>
              </w:rPr>
            </w:pPr>
            <w:r w:rsidRPr="0065626D">
              <w:rPr>
                <w:rFonts w:cs="Open Sans"/>
                <w:color w:val="000000"/>
                <w:sz w:val="20"/>
                <w:szCs w:val="20"/>
              </w:rPr>
              <w:t>215</w:t>
            </w:r>
          </w:p>
        </w:tc>
        <w:tc>
          <w:tcPr>
            <w:tcW w:w="783" w:type="pct"/>
            <w:vAlign w:val="center"/>
          </w:tcPr>
          <w:p w14:paraId="06BE1A3B" w14:textId="77777777" w:rsidR="00052B4F" w:rsidRPr="001437E1" w:rsidRDefault="00052B4F" w:rsidP="00392D28">
            <w:pPr>
              <w:jc w:val="center"/>
              <w:rPr>
                <w:rFonts w:cs="Open Sans"/>
                <w:sz w:val="20"/>
                <w:szCs w:val="20"/>
              </w:rPr>
            </w:pPr>
            <w:r w:rsidRPr="001437E1">
              <w:rPr>
                <w:rFonts w:cs="Open Sans"/>
                <w:color w:val="000000"/>
                <w:sz w:val="20"/>
                <w:szCs w:val="20"/>
              </w:rPr>
              <w:t>88%</w:t>
            </w:r>
          </w:p>
        </w:tc>
        <w:tc>
          <w:tcPr>
            <w:tcW w:w="707" w:type="pct"/>
            <w:shd w:val="clear" w:color="auto" w:fill="auto"/>
            <w:noWrap/>
            <w:vAlign w:val="center"/>
            <w:hideMark/>
          </w:tcPr>
          <w:p w14:paraId="4600EC6D"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42%</w:t>
            </w:r>
          </w:p>
        </w:tc>
        <w:tc>
          <w:tcPr>
            <w:tcW w:w="859" w:type="pct"/>
            <w:shd w:val="clear" w:color="auto" w:fill="auto"/>
            <w:noWrap/>
            <w:vAlign w:val="center"/>
            <w:hideMark/>
          </w:tcPr>
          <w:p w14:paraId="2C7AE4C5"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46%</w:t>
            </w:r>
          </w:p>
        </w:tc>
        <w:tc>
          <w:tcPr>
            <w:tcW w:w="838" w:type="pct"/>
            <w:shd w:val="clear" w:color="auto" w:fill="auto"/>
            <w:noWrap/>
            <w:vAlign w:val="center"/>
            <w:hideMark/>
          </w:tcPr>
          <w:p w14:paraId="01A724E0"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6%</w:t>
            </w:r>
          </w:p>
        </w:tc>
        <w:tc>
          <w:tcPr>
            <w:tcW w:w="728" w:type="pct"/>
            <w:shd w:val="clear" w:color="auto" w:fill="auto"/>
            <w:noWrap/>
            <w:vAlign w:val="center"/>
            <w:hideMark/>
          </w:tcPr>
          <w:p w14:paraId="043E478C" w14:textId="77777777" w:rsidR="00052B4F" w:rsidRPr="0065626D" w:rsidRDefault="00052B4F" w:rsidP="00392D28">
            <w:pPr>
              <w:jc w:val="center"/>
              <w:rPr>
                <w:rFonts w:eastAsia="Times New Roman" w:cs="Open Sans"/>
                <w:sz w:val="20"/>
                <w:szCs w:val="20"/>
                <w:lang w:eastAsia="en-GB"/>
              </w:rPr>
            </w:pPr>
            <w:r w:rsidRPr="0065626D">
              <w:rPr>
                <w:rFonts w:cs="Open Sans"/>
                <w:sz w:val="20"/>
                <w:szCs w:val="20"/>
              </w:rPr>
              <w:t>0%</w:t>
            </w:r>
          </w:p>
        </w:tc>
      </w:tr>
    </w:tbl>
    <w:p w14:paraId="3D7DC0CB" w14:textId="77777777" w:rsidR="00052B4F" w:rsidRDefault="00052B4F" w:rsidP="00052B4F">
      <w:pPr>
        <w:rPr>
          <w:sz w:val="21"/>
          <w:szCs w:val="20"/>
        </w:rPr>
      </w:pPr>
    </w:p>
    <w:p w14:paraId="1C59F734" w14:textId="77777777" w:rsidR="00052B4F" w:rsidRDefault="00052B4F" w:rsidP="00052B4F">
      <w:pPr>
        <w:rPr>
          <w:sz w:val="20"/>
          <w:szCs w:val="18"/>
        </w:rPr>
      </w:pPr>
      <w:r w:rsidRPr="006E626B">
        <w:rPr>
          <w:sz w:val="20"/>
          <w:szCs w:val="18"/>
        </w:rPr>
        <w:t>When we consider this across our three undergraduate degree awards</w:t>
      </w:r>
      <w:r>
        <w:rPr>
          <w:sz w:val="20"/>
          <w:szCs w:val="18"/>
        </w:rPr>
        <w:t>, there has been a reasonably consistent proportion of good awards made. The exception to t</w:t>
      </w:r>
      <w:bookmarkStart w:id="0" w:name="_GoBack"/>
      <w:bookmarkEnd w:id="0"/>
      <w:r>
        <w:rPr>
          <w:sz w:val="20"/>
          <w:szCs w:val="18"/>
        </w:rPr>
        <w:t xml:space="preserve">his is our Drama, Applied Theatre and Education programme which has seen a variance of 17% over the past 5 years. Having reviewed these students’ outcomes from 2018/19 there is no single unit which impacts on overall performance and we are assured that this was a natural fluctuation based solely on the achievements of these students: </w:t>
      </w:r>
    </w:p>
    <w:p w14:paraId="426D35FF" w14:textId="77777777" w:rsidR="00052B4F" w:rsidRDefault="00052B4F" w:rsidP="00052B4F">
      <w:pPr>
        <w:rPr>
          <w:sz w:val="20"/>
          <w:szCs w:val="18"/>
        </w:rPr>
      </w:pPr>
    </w:p>
    <w:tbl>
      <w:tblPr>
        <w:tblW w:w="5000" w:type="pct"/>
        <w:tblLook w:val="04A0" w:firstRow="1" w:lastRow="0" w:firstColumn="1" w:lastColumn="0" w:noHBand="0" w:noVBand="1"/>
      </w:tblPr>
      <w:tblGrid>
        <w:gridCol w:w="4285"/>
        <w:gridCol w:w="1233"/>
        <w:gridCol w:w="1237"/>
        <w:gridCol w:w="1233"/>
        <w:gridCol w:w="1236"/>
        <w:gridCol w:w="1236"/>
      </w:tblGrid>
      <w:tr w:rsidR="00052B4F" w:rsidRPr="00FB6534" w14:paraId="0CD87E95" w14:textId="77777777" w:rsidTr="00392D28">
        <w:trPr>
          <w:trHeight w:val="20"/>
        </w:trPr>
        <w:tc>
          <w:tcPr>
            <w:tcW w:w="2048" w:type="pct"/>
            <w:shd w:val="clear" w:color="auto" w:fill="auto"/>
            <w:noWrap/>
            <w:vAlign w:val="bottom"/>
            <w:hideMark/>
          </w:tcPr>
          <w:p w14:paraId="72BD42A3" w14:textId="77777777" w:rsidR="00052B4F" w:rsidRPr="00FB6534" w:rsidRDefault="00052B4F" w:rsidP="00392D28">
            <w:pPr>
              <w:rPr>
                <w:rFonts w:eastAsia="Times New Roman" w:cs="Open Sans"/>
                <w:color w:val="000000"/>
                <w:sz w:val="20"/>
                <w:szCs w:val="20"/>
                <w:lang w:eastAsia="en-GB"/>
              </w:rPr>
            </w:pPr>
            <w:r>
              <w:rPr>
                <w:sz w:val="20"/>
                <w:szCs w:val="18"/>
              </w:rPr>
              <w:t xml:space="preserve"> </w:t>
            </w:r>
          </w:p>
        </w:tc>
        <w:tc>
          <w:tcPr>
            <w:tcW w:w="589" w:type="pct"/>
            <w:shd w:val="clear" w:color="auto" w:fill="auto"/>
            <w:noWrap/>
            <w:vAlign w:val="center"/>
            <w:hideMark/>
          </w:tcPr>
          <w:p w14:paraId="61B26099" w14:textId="77777777" w:rsidR="00052B4F" w:rsidRPr="00FB6534" w:rsidRDefault="00052B4F" w:rsidP="00392D28">
            <w:pPr>
              <w:jc w:val="center"/>
              <w:rPr>
                <w:rFonts w:eastAsia="Times New Roman" w:cs="Open Sans"/>
                <w:b/>
                <w:bCs/>
                <w:color w:val="000000"/>
                <w:sz w:val="20"/>
                <w:szCs w:val="20"/>
                <w:lang w:eastAsia="en-GB"/>
              </w:rPr>
            </w:pPr>
            <w:r w:rsidRPr="00FB6534">
              <w:rPr>
                <w:rFonts w:eastAsia="Times New Roman" w:cs="Open Sans"/>
                <w:b/>
                <w:bCs/>
                <w:color w:val="000000"/>
                <w:sz w:val="20"/>
                <w:szCs w:val="20"/>
                <w:lang w:eastAsia="en-GB"/>
              </w:rPr>
              <w:t>2015/16</w:t>
            </w:r>
          </w:p>
        </w:tc>
        <w:tc>
          <w:tcPr>
            <w:tcW w:w="591" w:type="pct"/>
            <w:shd w:val="clear" w:color="auto" w:fill="auto"/>
            <w:noWrap/>
            <w:vAlign w:val="center"/>
            <w:hideMark/>
          </w:tcPr>
          <w:p w14:paraId="1330B151" w14:textId="77777777" w:rsidR="00052B4F" w:rsidRPr="00FB6534" w:rsidRDefault="00052B4F" w:rsidP="00392D28">
            <w:pPr>
              <w:jc w:val="center"/>
              <w:rPr>
                <w:rFonts w:eastAsia="Times New Roman" w:cs="Open Sans"/>
                <w:b/>
                <w:bCs/>
                <w:color w:val="000000"/>
                <w:sz w:val="20"/>
                <w:szCs w:val="20"/>
                <w:lang w:eastAsia="en-GB"/>
              </w:rPr>
            </w:pPr>
            <w:r w:rsidRPr="00FB6534">
              <w:rPr>
                <w:rFonts w:eastAsia="Times New Roman" w:cs="Open Sans"/>
                <w:b/>
                <w:bCs/>
                <w:color w:val="000000"/>
                <w:sz w:val="20"/>
                <w:szCs w:val="20"/>
                <w:lang w:eastAsia="en-GB"/>
              </w:rPr>
              <w:t>2016/17</w:t>
            </w:r>
          </w:p>
        </w:tc>
        <w:tc>
          <w:tcPr>
            <w:tcW w:w="589" w:type="pct"/>
            <w:shd w:val="clear" w:color="auto" w:fill="auto"/>
            <w:noWrap/>
            <w:vAlign w:val="center"/>
            <w:hideMark/>
          </w:tcPr>
          <w:p w14:paraId="4E0F1AD6" w14:textId="77777777" w:rsidR="00052B4F" w:rsidRPr="00FB6534" w:rsidRDefault="00052B4F" w:rsidP="00392D28">
            <w:pPr>
              <w:jc w:val="center"/>
              <w:rPr>
                <w:rFonts w:eastAsia="Times New Roman" w:cs="Open Sans"/>
                <w:b/>
                <w:bCs/>
                <w:color w:val="000000"/>
                <w:sz w:val="20"/>
                <w:szCs w:val="20"/>
                <w:lang w:eastAsia="en-GB"/>
              </w:rPr>
            </w:pPr>
            <w:r w:rsidRPr="00FB6534">
              <w:rPr>
                <w:rFonts w:eastAsia="Times New Roman" w:cs="Open Sans"/>
                <w:b/>
                <w:bCs/>
                <w:color w:val="000000"/>
                <w:sz w:val="20"/>
                <w:szCs w:val="20"/>
                <w:lang w:eastAsia="en-GB"/>
              </w:rPr>
              <w:t>2017/18</w:t>
            </w:r>
          </w:p>
        </w:tc>
        <w:tc>
          <w:tcPr>
            <w:tcW w:w="591" w:type="pct"/>
            <w:shd w:val="clear" w:color="auto" w:fill="auto"/>
            <w:noWrap/>
            <w:vAlign w:val="center"/>
            <w:hideMark/>
          </w:tcPr>
          <w:p w14:paraId="3485563D" w14:textId="77777777" w:rsidR="00052B4F" w:rsidRPr="00FB6534" w:rsidRDefault="00052B4F" w:rsidP="00392D28">
            <w:pPr>
              <w:jc w:val="center"/>
              <w:rPr>
                <w:rFonts w:eastAsia="Times New Roman" w:cs="Open Sans"/>
                <w:b/>
                <w:bCs/>
                <w:color w:val="000000"/>
                <w:sz w:val="20"/>
                <w:szCs w:val="20"/>
                <w:lang w:eastAsia="en-GB"/>
              </w:rPr>
            </w:pPr>
            <w:r w:rsidRPr="00FB6534">
              <w:rPr>
                <w:rFonts w:eastAsia="Times New Roman" w:cs="Open Sans"/>
                <w:b/>
                <w:bCs/>
                <w:color w:val="000000"/>
                <w:sz w:val="20"/>
                <w:szCs w:val="20"/>
                <w:lang w:eastAsia="en-GB"/>
              </w:rPr>
              <w:t>2018/19</w:t>
            </w:r>
          </w:p>
        </w:tc>
        <w:tc>
          <w:tcPr>
            <w:tcW w:w="591" w:type="pct"/>
            <w:shd w:val="clear" w:color="auto" w:fill="auto"/>
            <w:noWrap/>
            <w:vAlign w:val="center"/>
            <w:hideMark/>
          </w:tcPr>
          <w:p w14:paraId="7A4A3B79" w14:textId="77777777" w:rsidR="00052B4F" w:rsidRPr="00FB6534" w:rsidRDefault="00052B4F" w:rsidP="00392D28">
            <w:pPr>
              <w:jc w:val="center"/>
              <w:rPr>
                <w:rFonts w:eastAsia="Times New Roman" w:cs="Open Sans"/>
                <w:b/>
                <w:bCs/>
                <w:color w:val="000000"/>
                <w:sz w:val="20"/>
                <w:szCs w:val="20"/>
                <w:lang w:eastAsia="en-GB"/>
              </w:rPr>
            </w:pPr>
            <w:r w:rsidRPr="00FB6534">
              <w:rPr>
                <w:rFonts w:eastAsia="Times New Roman" w:cs="Open Sans"/>
                <w:b/>
                <w:bCs/>
                <w:color w:val="000000"/>
                <w:sz w:val="20"/>
                <w:szCs w:val="20"/>
                <w:lang w:eastAsia="en-GB"/>
              </w:rPr>
              <w:t>2019/20</w:t>
            </w:r>
          </w:p>
        </w:tc>
      </w:tr>
      <w:tr w:rsidR="00052B4F" w:rsidRPr="00FB6534" w14:paraId="25E4F7FF" w14:textId="77777777" w:rsidTr="00392D28">
        <w:trPr>
          <w:trHeight w:val="20"/>
        </w:trPr>
        <w:tc>
          <w:tcPr>
            <w:tcW w:w="2048" w:type="pct"/>
            <w:shd w:val="clear" w:color="auto" w:fill="auto"/>
            <w:noWrap/>
            <w:vAlign w:val="center"/>
            <w:hideMark/>
          </w:tcPr>
          <w:p w14:paraId="687CC3B6" w14:textId="77777777" w:rsidR="00052B4F" w:rsidRPr="00FB6534" w:rsidRDefault="00052B4F" w:rsidP="00392D28">
            <w:pPr>
              <w:rPr>
                <w:rFonts w:eastAsia="Times New Roman" w:cs="Open Sans"/>
                <w:sz w:val="16"/>
                <w:szCs w:val="16"/>
                <w:lang w:eastAsia="en-GB"/>
              </w:rPr>
            </w:pPr>
            <w:r w:rsidRPr="00FB6534">
              <w:rPr>
                <w:rFonts w:eastAsia="Times New Roman" w:cs="Open Sans"/>
                <w:sz w:val="18"/>
                <w:szCs w:val="18"/>
                <w:lang w:eastAsia="en-GB"/>
              </w:rPr>
              <w:t>BA</w:t>
            </w:r>
            <w:r w:rsidRPr="000C0F86">
              <w:rPr>
                <w:rFonts w:eastAsia="Times New Roman" w:cs="Open Sans"/>
                <w:sz w:val="18"/>
                <w:szCs w:val="18"/>
                <w:lang w:eastAsia="en-GB"/>
              </w:rPr>
              <w:t>(Hons)</w:t>
            </w:r>
            <w:r w:rsidRPr="00FB6534">
              <w:rPr>
                <w:rFonts w:eastAsia="Times New Roman" w:cs="Open Sans"/>
                <w:sz w:val="18"/>
                <w:szCs w:val="18"/>
                <w:lang w:eastAsia="en-GB"/>
              </w:rPr>
              <w:t xml:space="preserve"> </w:t>
            </w:r>
            <w:r w:rsidRPr="000C0F86">
              <w:rPr>
                <w:rFonts w:eastAsia="Times New Roman" w:cs="Open Sans"/>
                <w:sz w:val="18"/>
                <w:szCs w:val="18"/>
                <w:lang w:eastAsia="en-GB"/>
              </w:rPr>
              <w:t>Acting</w:t>
            </w:r>
          </w:p>
        </w:tc>
        <w:tc>
          <w:tcPr>
            <w:tcW w:w="589" w:type="pct"/>
            <w:shd w:val="clear" w:color="auto" w:fill="auto"/>
            <w:noWrap/>
            <w:vAlign w:val="center"/>
            <w:hideMark/>
          </w:tcPr>
          <w:p w14:paraId="156D160E"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96%</w:t>
            </w:r>
          </w:p>
        </w:tc>
        <w:tc>
          <w:tcPr>
            <w:tcW w:w="591" w:type="pct"/>
            <w:shd w:val="clear" w:color="auto" w:fill="auto"/>
            <w:noWrap/>
            <w:vAlign w:val="center"/>
            <w:hideMark/>
          </w:tcPr>
          <w:p w14:paraId="14F3D102"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96%</w:t>
            </w:r>
          </w:p>
        </w:tc>
        <w:tc>
          <w:tcPr>
            <w:tcW w:w="589" w:type="pct"/>
            <w:shd w:val="clear" w:color="auto" w:fill="auto"/>
            <w:noWrap/>
            <w:vAlign w:val="center"/>
            <w:hideMark/>
          </w:tcPr>
          <w:p w14:paraId="68A5FCDC"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98%</w:t>
            </w:r>
          </w:p>
        </w:tc>
        <w:tc>
          <w:tcPr>
            <w:tcW w:w="591" w:type="pct"/>
            <w:shd w:val="clear" w:color="auto" w:fill="auto"/>
            <w:noWrap/>
            <w:vAlign w:val="center"/>
            <w:hideMark/>
          </w:tcPr>
          <w:p w14:paraId="42E27A89"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100%</w:t>
            </w:r>
          </w:p>
        </w:tc>
        <w:tc>
          <w:tcPr>
            <w:tcW w:w="591" w:type="pct"/>
            <w:shd w:val="clear" w:color="auto" w:fill="auto"/>
            <w:noWrap/>
            <w:vAlign w:val="center"/>
            <w:hideMark/>
          </w:tcPr>
          <w:p w14:paraId="0583A1DB"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100%</w:t>
            </w:r>
          </w:p>
        </w:tc>
      </w:tr>
      <w:tr w:rsidR="00052B4F" w:rsidRPr="00FB6534" w14:paraId="4CA59B73" w14:textId="77777777" w:rsidTr="00392D28">
        <w:trPr>
          <w:trHeight w:val="20"/>
        </w:trPr>
        <w:tc>
          <w:tcPr>
            <w:tcW w:w="2048" w:type="pct"/>
            <w:shd w:val="clear" w:color="auto" w:fill="auto"/>
            <w:noWrap/>
            <w:vAlign w:val="center"/>
            <w:hideMark/>
          </w:tcPr>
          <w:p w14:paraId="5C0AB645" w14:textId="77777777" w:rsidR="00052B4F" w:rsidRPr="00FB6534" w:rsidRDefault="00052B4F" w:rsidP="00392D28">
            <w:pPr>
              <w:rPr>
                <w:rFonts w:eastAsia="Times New Roman" w:cs="Open Sans"/>
                <w:sz w:val="17"/>
                <w:szCs w:val="17"/>
                <w:lang w:eastAsia="en-GB"/>
              </w:rPr>
            </w:pPr>
            <w:r w:rsidRPr="00FB6534">
              <w:rPr>
                <w:rFonts w:eastAsia="Times New Roman" w:cs="Open Sans"/>
                <w:sz w:val="18"/>
                <w:szCs w:val="18"/>
                <w:lang w:eastAsia="en-GB"/>
              </w:rPr>
              <w:t>BA</w:t>
            </w:r>
            <w:r w:rsidRPr="000C0F86">
              <w:rPr>
                <w:rFonts w:eastAsia="Times New Roman" w:cs="Open Sans"/>
                <w:sz w:val="18"/>
                <w:szCs w:val="18"/>
                <w:lang w:eastAsia="en-GB"/>
              </w:rPr>
              <w:t>(Hons) Drama, Applied Theatre and Education</w:t>
            </w:r>
          </w:p>
        </w:tc>
        <w:tc>
          <w:tcPr>
            <w:tcW w:w="589" w:type="pct"/>
            <w:shd w:val="clear" w:color="auto" w:fill="auto"/>
            <w:noWrap/>
            <w:vAlign w:val="center"/>
            <w:hideMark/>
          </w:tcPr>
          <w:p w14:paraId="21FF5D98"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95%</w:t>
            </w:r>
          </w:p>
        </w:tc>
        <w:tc>
          <w:tcPr>
            <w:tcW w:w="591" w:type="pct"/>
            <w:shd w:val="clear" w:color="auto" w:fill="auto"/>
            <w:noWrap/>
            <w:vAlign w:val="center"/>
            <w:hideMark/>
          </w:tcPr>
          <w:p w14:paraId="5CB6529B"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98%</w:t>
            </w:r>
          </w:p>
        </w:tc>
        <w:tc>
          <w:tcPr>
            <w:tcW w:w="589" w:type="pct"/>
            <w:shd w:val="clear" w:color="auto" w:fill="auto"/>
            <w:noWrap/>
            <w:vAlign w:val="center"/>
            <w:hideMark/>
          </w:tcPr>
          <w:p w14:paraId="598BDB99"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90%</w:t>
            </w:r>
          </w:p>
        </w:tc>
        <w:tc>
          <w:tcPr>
            <w:tcW w:w="591" w:type="pct"/>
            <w:shd w:val="clear" w:color="auto" w:fill="auto"/>
            <w:noWrap/>
            <w:vAlign w:val="center"/>
            <w:hideMark/>
          </w:tcPr>
          <w:p w14:paraId="65746DDF"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83%</w:t>
            </w:r>
          </w:p>
        </w:tc>
        <w:tc>
          <w:tcPr>
            <w:tcW w:w="591" w:type="pct"/>
            <w:shd w:val="clear" w:color="auto" w:fill="auto"/>
            <w:noWrap/>
            <w:vAlign w:val="center"/>
            <w:hideMark/>
          </w:tcPr>
          <w:p w14:paraId="3EA7F66D"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100%</w:t>
            </w:r>
          </w:p>
        </w:tc>
      </w:tr>
      <w:tr w:rsidR="00052B4F" w:rsidRPr="00FB6534" w14:paraId="1EB2F17D" w14:textId="77777777" w:rsidTr="00392D28">
        <w:trPr>
          <w:trHeight w:val="20"/>
        </w:trPr>
        <w:tc>
          <w:tcPr>
            <w:tcW w:w="2048" w:type="pct"/>
            <w:shd w:val="clear" w:color="auto" w:fill="auto"/>
            <w:noWrap/>
            <w:vAlign w:val="center"/>
            <w:hideMark/>
          </w:tcPr>
          <w:p w14:paraId="08495B2E" w14:textId="77777777" w:rsidR="00052B4F" w:rsidRPr="00FB6534" w:rsidRDefault="00052B4F" w:rsidP="00392D28">
            <w:pPr>
              <w:rPr>
                <w:rFonts w:eastAsia="Times New Roman" w:cs="Open Sans"/>
                <w:sz w:val="16"/>
                <w:szCs w:val="16"/>
                <w:lang w:eastAsia="en-GB"/>
              </w:rPr>
            </w:pPr>
            <w:r w:rsidRPr="00FB6534">
              <w:rPr>
                <w:rFonts w:eastAsia="Times New Roman" w:cs="Open Sans"/>
                <w:sz w:val="18"/>
                <w:szCs w:val="18"/>
                <w:lang w:eastAsia="en-GB"/>
              </w:rPr>
              <w:t>BA</w:t>
            </w:r>
            <w:r w:rsidRPr="000C0F86">
              <w:rPr>
                <w:rFonts w:eastAsia="Times New Roman" w:cs="Open Sans"/>
                <w:sz w:val="18"/>
                <w:szCs w:val="18"/>
                <w:lang w:eastAsia="en-GB"/>
              </w:rPr>
              <w:t>(Hons) Theatre Practice</w:t>
            </w:r>
          </w:p>
        </w:tc>
        <w:tc>
          <w:tcPr>
            <w:tcW w:w="589" w:type="pct"/>
            <w:shd w:val="clear" w:color="auto" w:fill="auto"/>
            <w:noWrap/>
            <w:vAlign w:val="center"/>
            <w:hideMark/>
          </w:tcPr>
          <w:p w14:paraId="013BA35F"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77%</w:t>
            </w:r>
          </w:p>
        </w:tc>
        <w:tc>
          <w:tcPr>
            <w:tcW w:w="591" w:type="pct"/>
            <w:shd w:val="clear" w:color="auto" w:fill="auto"/>
            <w:noWrap/>
            <w:vAlign w:val="center"/>
            <w:hideMark/>
          </w:tcPr>
          <w:p w14:paraId="67F714B4"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69%</w:t>
            </w:r>
          </w:p>
        </w:tc>
        <w:tc>
          <w:tcPr>
            <w:tcW w:w="589" w:type="pct"/>
            <w:shd w:val="clear" w:color="auto" w:fill="auto"/>
            <w:noWrap/>
            <w:vAlign w:val="center"/>
            <w:hideMark/>
          </w:tcPr>
          <w:p w14:paraId="0CE22924"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71%</w:t>
            </w:r>
          </w:p>
        </w:tc>
        <w:tc>
          <w:tcPr>
            <w:tcW w:w="591" w:type="pct"/>
            <w:shd w:val="clear" w:color="auto" w:fill="auto"/>
            <w:noWrap/>
            <w:vAlign w:val="center"/>
            <w:hideMark/>
          </w:tcPr>
          <w:p w14:paraId="5B5110A9"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75%</w:t>
            </w:r>
          </w:p>
        </w:tc>
        <w:tc>
          <w:tcPr>
            <w:tcW w:w="591" w:type="pct"/>
            <w:shd w:val="clear" w:color="auto" w:fill="auto"/>
            <w:noWrap/>
            <w:vAlign w:val="center"/>
            <w:hideMark/>
          </w:tcPr>
          <w:p w14:paraId="4FF90147" w14:textId="77777777" w:rsidR="00052B4F" w:rsidRPr="00FB6534" w:rsidRDefault="00052B4F" w:rsidP="00392D28">
            <w:pPr>
              <w:jc w:val="center"/>
              <w:rPr>
                <w:rFonts w:eastAsia="Times New Roman" w:cs="Open Sans"/>
                <w:color w:val="000000"/>
                <w:sz w:val="20"/>
                <w:szCs w:val="20"/>
                <w:lang w:eastAsia="en-GB"/>
              </w:rPr>
            </w:pPr>
            <w:r w:rsidRPr="00C3596E">
              <w:rPr>
                <w:rFonts w:cs="Open Sans"/>
                <w:color w:val="000000"/>
                <w:sz w:val="20"/>
                <w:szCs w:val="20"/>
              </w:rPr>
              <w:t>75%</w:t>
            </w:r>
          </w:p>
        </w:tc>
      </w:tr>
    </w:tbl>
    <w:p w14:paraId="51E70314" w14:textId="77777777" w:rsidR="00052B4F" w:rsidRDefault="00052B4F" w:rsidP="00052B4F">
      <w:pPr>
        <w:rPr>
          <w:sz w:val="20"/>
          <w:szCs w:val="18"/>
        </w:rPr>
      </w:pPr>
    </w:p>
    <w:p w14:paraId="266DF8B9" w14:textId="77777777" w:rsidR="00052B4F" w:rsidRDefault="00052B4F" w:rsidP="00052B4F">
      <w:pPr>
        <w:rPr>
          <w:sz w:val="20"/>
          <w:szCs w:val="18"/>
        </w:rPr>
      </w:pPr>
      <w:r>
        <w:rPr>
          <w:sz w:val="20"/>
          <w:szCs w:val="18"/>
        </w:rPr>
        <w:t xml:space="preserve">Last year, a number of reflections were made with respect to attainment between students with particular characteristics. These reflections are updated </w:t>
      </w:r>
    </w:p>
    <w:p w14:paraId="63EB9E9B" w14:textId="77777777" w:rsidR="00052B4F" w:rsidRDefault="00052B4F" w:rsidP="00052B4F">
      <w:pPr>
        <w:rPr>
          <w:sz w:val="20"/>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0"/>
        <w:gridCol w:w="5210"/>
      </w:tblGrid>
      <w:tr w:rsidR="00052B4F" w:rsidRPr="00155E8C" w14:paraId="4ED0F12D" w14:textId="77777777" w:rsidTr="00392D28">
        <w:tc>
          <w:tcPr>
            <w:tcW w:w="5240" w:type="dxa"/>
          </w:tcPr>
          <w:p w14:paraId="6130927F" w14:textId="77777777" w:rsidR="00052B4F" w:rsidRPr="00155E8C" w:rsidRDefault="00052B4F" w:rsidP="00392D28">
            <w:pPr>
              <w:rPr>
                <w:b/>
                <w:bCs/>
                <w:sz w:val="18"/>
                <w:szCs w:val="16"/>
              </w:rPr>
            </w:pPr>
            <w:r w:rsidRPr="00155E8C">
              <w:rPr>
                <w:b/>
                <w:bCs/>
                <w:sz w:val="18"/>
                <w:szCs w:val="16"/>
              </w:rPr>
              <w:t>Trend 2014/15-2018/19</w:t>
            </w:r>
          </w:p>
        </w:tc>
        <w:tc>
          <w:tcPr>
            <w:tcW w:w="5210" w:type="dxa"/>
          </w:tcPr>
          <w:p w14:paraId="1F710B73" w14:textId="77777777" w:rsidR="00052B4F" w:rsidRPr="00155E8C" w:rsidRDefault="00052B4F" w:rsidP="00392D28">
            <w:pPr>
              <w:rPr>
                <w:b/>
                <w:bCs/>
                <w:sz w:val="18"/>
                <w:szCs w:val="16"/>
              </w:rPr>
            </w:pPr>
            <w:r w:rsidRPr="00155E8C">
              <w:rPr>
                <w:b/>
                <w:bCs/>
                <w:sz w:val="18"/>
                <w:szCs w:val="16"/>
              </w:rPr>
              <w:t xml:space="preserve">2019/20 Update </w:t>
            </w:r>
          </w:p>
        </w:tc>
      </w:tr>
      <w:tr w:rsidR="00052B4F" w:rsidRPr="00155E8C" w14:paraId="0697E2C8" w14:textId="77777777" w:rsidTr="00392D28">
        <w:tc>
          <w:tcPr>
            <w:tcW w:w="5240" w:type="dxa"/>
          </w:tcPr>
          <w:p w14:paraId="40C1203E" w14:textId="77777777" w:rsidR="00052B4F" w:rsidRPr="00155E8C" w:rsidRDefault="00052B4F" w:rsidP="00392D28">
            <w:pPr>
              <w:rPr>
                <w:sz w:val="18"/>
                <w:szCs w:val="16"/>
              </w:rPr>
            </w:pPr>
            <w:r w:rsidRPr="00155E8C">
              <w:rPr>
                <w:sz w:val="18"/>
                <w:szCs w:val="16"/>
              </w:rPr>
              <w:t>An increase in the award of good honours degrees for students with declared disabilities (32% of our total students) from 79% to 85%</w:t>
            </w:r>
          </w:p>
        </w:tc>
        <w:tc>
          <w:tcPr>
            <w:tcW w:w="5210" w:type="dxa"/>
          </w:tcPr>
          <w:p w14:paraId="4BFEBCA5" w14:textId="77777777" w:rsidR="00052B4F" w:rsidRPr="00155E8C" w:rsidRDefault="00052B4F" w:rsidP="00392D28">
            <w:pPr>
              <w:rPr>
                <w:sz w:val="18"/>
                <w:szCs w:val="16"/>
              </w:rPr>
            </w:pPr>
            <w:r w:rsidRPr="00155E8C">
              <w:rPr>
                <w:sz w:val="18"/>
                <w:szCs w:val="16"/>
              </w:rPr>
              <w:t>Students with a declared disability saw a 4.4% increase in good honours, at a rate 1% below those without Declared Disabilities (87% vs 88%)</w:t>
            </w:r>
          </w:p>
        </w:tc>
      </w:tr>
      <w:tr w:rsidR="00052B4F" w:rsidRPr="00155E8C" w14:paraId="437D1FBD" w14:textId="77777777" w:rsidTr="00392D28">
        <w:tc>
          <w:tcPr>
            <w:tcW w:w="5240" w:type="dxa"/>
          </w:tcPr>
          <w:p w14:paraId="0BE3C829" w14:textId="77777777" w:rsidR="00052B4F" w:rsidRPr="00155E8C" w:rsidRDefault="00052B4F" w:rsidP="00392D28">
            <w:pPr>
              <w:rPr>
                <w:sz w:val="18"/>
                <w:szCs w:val="16"/>
              </w:rPr>
            </w:pPr>
            <w:r w:rsidRPr="00155E8C">
              <w:rPr>
                <w:sz w:val="18"/>
                <w:szCs w:val="16"/>
              </w:rPr>
              <w:t>Female student outcomes are more consistently</w:t>
            </w:r>
          </w:p>
          <w:p w14:paraId="3C827488" w14:textId="77777777" w:rsidR="00052B4F" w:rsidRPr="00155E8C" w:rsidRDefault="00052B4F" w:rsidP="00392D28">
            <w:pPr>
              <w:rPr>
                <w:sz w:val="18"/>
                <w:szCs w:val="16"/>
              </w:rPr>
            </w:pPr>
            <w:r w:rsidRPr="00155E8C">
              <w:rPr>
                <w:sz w:val="18"/>
                <w:szCs w:val="16"/>
              </w:rPr>
              <w:t xml:space="preserve">Higher than male </w:t>
            </w:r>
          </w:p>
        </w:tc>
        <w:tc>
          <w:tcPr>
            <w:tcW w:w="5210" w:type="dxa"/>
          </w:tcPr>
          <w:p w14:paraId="73BD629D" w14:textId="77777777" w:rsidR="00052B4F" w:rsidRPr="00155E8C" w:rsidRDefault="00052B4F" w:rsidP="00392D28">
            <w:pPr>
              <w:rPr>
                <w:sz w:val="18"/>
                <w:szCs w:val="16"/>
              </w:rPr>
            </w:pPr>
            <w:r w:rsidRPr="00155E8C">
              <w:rPr>
                <w:sz w:val="18"/>
                <w:szCs w:val="16"/>
              </w:rPr>
              <w:t xml:space="preserve">Female students achieved 6.9% more good honours than male, an increased difference of 7.2% </w:t>
            </w:r>
          </w:p>
        </w:tc>
      </w:tr>
      <w:tr w:rsidR="00052B4F" w:rsidRPr="00155E8C" w14:paraId="572DAFA0" w14:textId="77777777" w:rsidTr="00392D28">
        <w:tc>
          <w:tcPr>
            <w:tcW w:w="5240" w:type="dxa"/>
          </w:tcPr>
          <w:p w14:paraId="3237757F" w14:textId="77777777" w:rsidR="00052B4F" w:rsidRPr="00155E8C" w:rsidRDefault="00052B4F" w:rsidP="00392D28">
            <w:pPr>
              <w:rPr>
                <w:sz w:val="18"/>
                <w:szCs w:val="16"/>
              </w:rPr>
            </w:pPr>
            <w:r w:rsidRPr="00155E8C">
              <w:rPr>
                <w:sz w:val="18"/>
                <w:szCs w:val="16"/>
              </w:rPr>
              <w:t xml:space="preserve">Home and EU students achieving higher overall outcomes than our international students </w:t>
            </w:r>
          </w:p>
        </w:tc>
        <w:tc>
          <w:tcPr>
            <w:tcW w:w="5210" w:type="dxa"/>
          </w:tcPr>
          <w:p w14:paraId="14A348D4" w14:textId="77777777" w:rsidR="00052B4F" w:rsidRPr="00155E8C" w:rsidRDefault="00052B4F" w:rsidP="00392D28">
            <w:pPr>
              <w:rPr>
                <w:sz w:val="18"/>
                <w:szCs w:val="16"/>
              </w:rPr>
            </w:pPr>
            <w:r w:rsidRPr="00155E8C">
              <w:rPr>
                <w:sz w:val="18"/>
                <w:szCs w:val="16"/>
              </w:rPr>
              <w:t xml:space="preserve">This trend continued, with EU students outperforming those from Overseas  by 9.7% </w:t>
            </w:r>
          </w:p>
        </w:tc>
      </w:tr>
      <w:tr w:rsidR="00052B4F" w:rsidRPr="00155E8C" w14:paraId="79851704" w14:textId="77777777" w:rsidTr="00392D28">
        <w:tc>
          <w:tcPr>
            <w:tcW w:w="5240" w:type="dxa"/>
          </w:tcPr>
          <w:p w14:paraId="0EB77953" w14:textId="77777777" w:rsidR="00052B4F" w:rsidRPr="00155E8C" w:rsidRDefault="00052B4F" w:rsidP="00392D28">
            <w:pPr>
              <w:rPr>
                <w:sz w:val="18"/>
                <w:szCs w:val="16"/>
              </w:rPr>
            </w:pPr>
            <w:r w:rsidRPr="00155E8C">
              <w:rPr>
                <w:sz w:val="18"/>
                <w:szCs w:val="16"/>
              </w:rPr>
              <w:t>BME students achieving a higher proportion of good honours, with White students achieving a higher proportion of 1</w:t>
            </w:r>
            <w:r w:rsidRPr="00155E8C">
              <w:rPr>
                <w:sz w:val="18"/>
                <w:szCs w:val="16"/>
                <w:vertAlign w:val="superscript"/>
              </w:rPr>
              <w:t>st</w:t>
            </w:r>
            <w:r w:rsidRPr="00155E8C">
              <w:rPr>
                <w:sz w:val="18"/>
                <w:szCs w:val="16"/>
              </w:rPr>
              <w:t>s</w:t>
            </w:r>
          </w:p>
        </w:tc>
        <w:tc>
          <w:tcPr>
            <w:tcW w:w="5210" w:type="dxa"/>
          </w:tcPr>
          <w:p w14:paraId="2FB623B8" w14:textId="77777777" w:rsidR="00052B4F" w:rsidRPr="00155E8C" w:rsidRDefault="00052B4F" w:rsidP="00392D28">
            <w:pPr>
              <w:rPr>
                <w:sz w:val="18"/>
                <w:szCs w:val="16"/>
              </w:rPr>
            </w:pPr>
            <w:r w:rsidRPr="00155E8C">
              <w:rPr>
                <w:sz w:val="18"/>
                <w:szCs w:val="16"/>
              </w:rPr>
              <w:t xml:space="preserve">BME students achieved a better proportion of first class honours this year (50%, +7%), with the overall attainment gap falling nearly 10% </w:t>
            </w:r>
          </w:p>
        </w:tc>
      </w:tr>
      <w:tr w:rsidR="00052B4F" w:rsidRPr="00155E8C" w14:paraId="2ADA2D1B" w14:textId="77777777" w:rsidTr="00392D28">
        <w:tc>
          <w:tcPr>
            <w:tcW w:w="5240" w:type="dxa"/>
          </w:tcPr>
          <w:p w14:paraId="01D0F81B" w14:textId="77777777" w:rsidR="00052B4F" w:rsidRPr="00155E8C" w:rsidRDefault="00052B4F" w:rsidP="00392D28">
            <w:pPr>
              <w:rPr>
                <w:sz w:val="18"/>
                <w:szCs w:val="16"/>
              </w:rPr>
            </w:pPr>
            <w:r w:rsidRPr="00155E8C">
              <w:rPr>
                <w:sz w:val="18"/>
                <w:szCs w:val="16"/>
              </w:rPr>
              <w:t>Over the past 5 years, the average number of good honours awards has increased in contrast with</w:t>
            </w:r>
          </w:p>
          <w:p w14:paraId="48CADCD4" w14:textId="77777777" w:rsidR="00052B4F" w:rsidRPr="00155E8C" w:rsidRDefault="00052B4F" w:rsidP="00392D28">
            <w:pPr>
              <w:rPr>
                <w:sz w:val="18"/>
                <w:szCs w:val="16"/>
              </w:rPr>
            </w:pPr>
            <w:proofErr w:type="gramStart"/>
            <w:r w:rsidRPr="00155E8C">
              <w:rPr>
                <w:sz w:val="18"/>
                <w:szCs w:val="16"/>
              </w:rPr>
              <w:t>our</w:t>
            </w:r>
            <w:proofErr w:type="gramEnd"/>
            <w:r w:rsidRPr="00155E8C">
              <w:rPr>
                <w:sz w:val="18"/>
                <w:szCs w:val="16"/>
              </w:rPr>
              <w:t xml:space="preserve"> average tariffs on entry going down.</w:t>
            </w:r>
          </w:p>
        </w:tc>
        <w:tc>
          <w:tcPr>
            <w:tcW w:w="5210" w:type="dxa"/>
          </w:tcPr>
          <w:p w14:paraId="298693A0" w14:textId="77777777" w:rsidR="00052B4F" w:rsidRPr="00155E8C" w:rsidRDefault="00052B4F" w:rsidP="00392D28">
            <w:pPr>
              <w:rPr>
                <w:sz w:val="18"/>
                <w:szCs w:val="16"/>
              </w:rPr>
            </w:pPr>
            <w:r w:rsidRPr="00155E8C">
              <w:rPr>
                <w:sz w:val="18"/>
                <w:szCs w:val="16"/>
              </w:rPr>
              <w:t>The number of good honours did increase this year, but remains approximate proportionately to 2015/16 and within our historical performance (80-90%)</w:t>
            </w:r>
          </w:p>
        </w:tc>
      </w:tr>
    </w:tbl>
    <w:p w14:paraId="0F011F55" w14:textId="77777777" w:rsidR="00052B4F" w:rsidRDefault="00052B4F" w:rsidP="00052B4F">
      <w:pPr>
        <w:rPr>
          <w:sz w:val="20"/>
          <w:szCs w:val="18"/>
        </w:rPr>
      </w:pPr>
    </w:p>
    <w:p w14:paraId="391BAE09" w14:textId="77777777" w:rsidR="00052B4F" w:rsidRDefault="00052B4F" w:rsidP="00052B4F">
      <w:pPr>
        <w:rPr>
          <w:sz w:val="20"/>
          <w:szCs w:val="18"/>
        </w:rPr>
        <w:sectPr w:rsidR="00052B4F" w:rsidSect="001A4939">
          <w:headerReference w:type="even" r:id="rId8"/>
          <w:headerReference w:type="default" r:id="rId9"/>
          <w:headerReference w:type="first" r:id="rId10"/>
          <w:pgSz w:w="11900" w:h="16840"/>
          <w:pgMar w:top="720" w:right="720" w:bottom="720" w:left="720" w:header="720" w:footer="720" w:gutter="0"/>
          <w:cols w:space="720"/>
          <w:docGrid w:linePitch="360"/>
        </w:sectPr>
      </w:pPr>
      <w:r w:rsidRPr="0085275B">
        <w:rPr>
          <w:b/>
          <w:bCs/>
          <w:sz w:val="20"/>
          <w:szCs w:val="18"/>
        </w:rPr>
        <w:t>No Detriment</w:t>
      </w:r>
      <w:r>
        <w:rPr>
          <w:b/>
          <w:bCs/>
          <w:sz w:val="20"/>
          <w:szCs w:val="18"/>
        </w:rPr>
        <w:t xml:space="preserve">: </w:t>
      </w:r>
      <w:r>
        <w:rPr>
          <w:sz w:val="20"/>
          <w:szCs w:val="18"/>
        </w:rPr>
        <w:t>In response to the sudden disruption caused by the COVID-19 pandemic and lockdown, a variation was enacted as part of our No Detriment policy to expand our ‘zone of consideration’ for raising degree classifications from under 2% to under 5%. Course teams reviewed student’s average outcomes before and after lockdown, and where there was a demonstrable impact could recommend a classification raise in their academic judgment (whilst the student’s mark remained the same). 17% of student had their classification raised as a result, mainly benefitting students at the 1</w:t>
      </w:r>
      <w:r w:rsidRPr="005F48F8">
        <w:rPr>
          <w:sz w:val="20"/>
          <w:szCs w:val="18"/>
          <w:vertAlign w:val="superscript"/>
        </w:rPr>
        <w:t>st</w:t>
      </w:r>
      <w:r>
        <w:rPr>
          <w:sz w:val="20"/>
          <w:szCs w:val="18"/>
        </w:rPr>
        <w:t xml:space="preserve"> class / 2:1 boundary rather than between 2:1 and 2:2. External examiners were encouraged to comment on our proposals before they were implemented, ratified our outcomes at the Examination Board and praised our response to the pandemic in their reports.</w:t>
      </w:r>
    </w:p>
    <w:p w14:paraId="75F064E9"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lastRenderedPageBreak/>
        <w:t>2</w:t>
      </w:r>
      <w:r w:rsidRPr="001A4939">
        <w:rPr>
          <w:b/>
          <w:bCs/>
          <w:color w:val="FFFFFF" w:themeColor="background1"/>
          <w:sz w:val="20"/>
          <w:szCs w:val="18"/>
        </w:rPr>
        <w:tab/>
        <w:t>Assessment and marking practices</w:t>
      </w:r>
    </w:p>
    <w:p w14:paraId="225C3017" w14:textId="77777777" w:rsidR="00052B4F" w:rsidRDefault="00052B4F" w:rsidP="00052B4F">
      <w:pPr>
        <w:rPr>
          <w:sz w:val="20"/>
          <w:szCs w:val="18"/>
        </w:rPr>
      </w:pPr>
    </w:p>
    <w:p w14:paraId="45AD9622" w14:textId="77777777" w:rsidR="00052B4F" w:rsidRPr="0047000D" w:rsidRDefault="00052B4F" w:rsidP="00052B4F">
      <w:pPr>
        <w:rPr>
          <w:sz w:val="20"/>
          <w:szCs w:val="18"/>
        </w:rPr>
      </w:pPr>
      <w:r w:rsidRPr="0047000D">
        <w:rPr>
          <w:sz w:val="20"/>
          <w:szCs w:val="18"/>
        </w:rPr>
        <w:t>The School assures itself that assessment criteria meet sector reference points through the following key processes:</w:t>
      </w:r>
    </w:p>
    <w:p w14:paraId="2F655D89" w14:textId="77777777" w:rsidR="00052B4F" w:rsidRPr="0047000D" w:rsidRDefault="00052B4F" w:rsidP="00052B4F">
      <w:pPr>
        <w:pStyle w:val="ListParagraph"/>
        <w:numPr>
          <w:ilvl w:val="0"/>
          <w:numId w:val="1"/>
        </w:numPr>
        <w:rPr>
          <w:sz w:val="20"/>
          <w:szCs w:val="18"/>
        </w:rPr>
      </w:pPr>
      <w:r w:rsidRPr="0047000D">
        <w:rPr>
          <w:sz w:val="20"/>
          <w:szCs w:val="18"/>
        </w:rPr>
        <w:t>The design and development of programmes with alignment to the Framework for Higher Education Qualifications (FHEQ), national credit frameworks and subject benchmark statements;</w:t>
      </w:r>
    </w:p>
    <w:p w14:paraId="5EC219AC" w14:textId="77777777" w:rsidR="00052B4F" w:rsidRPr="0047000D" w:rsidRDefault="00052B4F" w:rsidP="00052B4F">
      <w:pPr>
        <w:pStyle w:val="ListParagraph"/>
        <w:numPr>
          <w:ilvl w:val="0"/>
          <w:numId w:val="1"/>
        </w:numPr>
        <w:rPr>
          <w:sz w:val="20"/>
          <w:szCs w:val="18"/>
        </w:rPr>
      </w:pPr>
      <w:r w:rsidRPr="0047000D">
        <w:rPr>
          <w:sz w:val="20"/>
          <w:szCs w:val="18"/>
        </w:rPr>
        <w:t>All assessment being undertaken by full- and part-time contracted and trained academic staff;</w:t>
      </w:r>
    </w:p>
    <w:p w14:paraId="575FD192" w14:textId="77777777" w:rsidR="00052B4F" w:rsidRPr="0047000D" w:rsidRDefault="00052B4F" w:rsidP="00052B4F">
      <w:pPr>
        <w:pStyle w:val="ListParagraph"/>
        <w:numPr>
          <w:ilvl w:val="0"/>
          <w:numId w:val="1"/>
        </w:numPr>
        <w:rPr>
          <w:sz w:val="20"/>
          <w:szCs w:val="18"/>
        </w:rPr>
      </w:pPr>
      <w:r w:rsidRPr="0047000D">
        <w:rPr>
          <w:sz w:val="20"/>
          <w:szCs w:val="18"/>
        </w:rPr>
        <w:t>External examination of its programmes, which takes into account the standards outlined within the FHEQ and associated guidance on academic credit frameworks for providers within the United Kingdom;</w:t>
      </w:r>
    </w:p>
    <w:p w14:paraId="11F7B212" w14:textId="77777777" w:rsidR="00052B4F" w:rsidRPr="0047000D" w:rsidRDefault="00052B4F" w:rsidP="00052B4F">
      <w:pPr>
        <w:pStyle w:val="ListParagraph"/>
        <w:numPr>
          <w:ilvl w:val="0"/>
          <w:numId w:val="1"/>
        </w:numPr>
        <w:rPr>
          <w:sz w:val="20"/>
          <w:szCs w:val="18"/>
        </w:rPr>
      </w:pPr>
      <w:r w:rsidRPr="0047000D">
        <w:rPr>
          <w:sz w:val="20"/>
          <w:szCs w:val="18"/>
        </w:rPr>
        <w:t>All degree weighted student assessments are double marked or moderated, and samples are considered by external examiners;</w:t>
      </w:r>
    </w:p>
    <w:p w14:paraId="667722D2" w14:textId="77777777" w:rsidR="00052B4F" w:rsidRPr="0047000D" w:rsidRDefault="00052B4F" w:rsidP="00052B4F">
      <w:pPr>
        <w:pStyle w:val="ListParagraph"/>
        <w:numPr>
          <w:ilvl w:val="0"/>
          <w:numId w:val="1"/>
        </w:numPr>
        <w:rPr>
          <w:sz w:val="20"/>
          <w:szCs w:val="18"/>
        </w:rPr>
      </w:pPr>
      <w:r w:rsidRPr="0047000D">
        <w:rPr>
          <w:sz w:val="20"/>
          <w:szCs w:val="18"/>
        </w:rPr>
        <w:t>The professional development of academic staff through engagement in subject communities, acting as external examiners, undertaking research and scholarship, engaging in professional practice and support for staff in attaining fellowship at all levels from Advance HE (formerly the Higher Education Academy) in recognition and development of their teaching practice.</w:t>
      </w:r>
    </w:p>
    <w:p w14:paraId="037FBAAB" w14:textId="77777777" w:rsidR="00052B4F" w:rsidRPr="0047000D" w:rsidRDefault="00052B4F" w:rsidP="00052B4F">
      <w:pPr>
        <w:rPr>
          <w:sz w:val="20"/>
          <w:szCs w:val="18"/>
        </w:rPr>
      </w:pPr>
    </w:p>
    <w:p w14:paraId="5628E692" w14:textId="77777777" w:rsidR="00052B4F" w:rsidRPr="0047000D" w:rsidRDefault="00052B4F" w:rsidP="00052B4F">
      <w:pPr>
        <w:rPr>
          <w:sz w:val="20"/>
          <w:szCs w:val="18"/>
        </w:rPr>
      </w:pPr>
      <w:r w:rsidRPr="0047000D">
        <w:rPr>
          <w:sz w:val="20"/>
          <w:szCs w:val="18"/>
        </w:rPr>
        <w:t>The School appoints external examiners from other institutions across the United Kingdom to confirm that the School’s academic standards remain commensurate with national expectations, via participation in the Examination Boards where marks and awards are confirmed and through formal annual report. We have consistently received this assurance for undergraduate awards, and in recent years across levels it has been recommended to use marks at the higher end of the marking scale (which inevitably impacts on the number of students receiving first class awards in particular).</w:t>
      </w:r>
      <w:r>
        <w:rPr>
          <w:sz w:val="20"/>
          <w:szCs w:val="18"/>
        </w:rPr>
        <w:t xml:space="preserve"> </w:t>
      </w:r>
      <w:r w:rsidRPr="0047000D">
        <w:rPr>
          <w:sz w:val="20"/>
          <w:szCs w:val="18"/>
        </w:rPr>
        <w:t>External scrutiny is also provided through the appointment of academics and practitioners working in related fields annual monitoring, periodic review and validation and/or revalidation of programmes, as detailed in our Handbook of Quality Assurance and Enhancement.</w:t>
      </w:r>
    </w:p>
    <w:p w14:paraId="7A224E92" w14:textId="77777777" w:rsidR="00052B4F" w:rsidRPr="0047000D" w:rsidRDefault="00052B4F" w:rsidP="00052B4F">
      <w:pPr>
        <w:rPr>
          <w:sz w:val="20"/>
          <w:szCs w:val="18"/>
        </w:rPr>
      </w:pPr>
    </w:p>
    <w:p w14:paraId="112D2796"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3</w:t>
      </w:r>
      <w:r w:rsidRPr="001A4939">
        <w:rPr>
          <w:b/>
          <w:bCs/>
          <w:color w:val="FFFFFF" w:themeColor="background1"/>
          <w:sz w:val="20"/>
          <w:szCs w:val="18"/>
        </w:rPr>
        <w:tab/>
        <w:t>Academic governance</w:t>
      </w:r>
    </w:p>
    <w:p w14:paraId="0C545261" w14:textId="77777777" w:rsidR="00052B4F" w:rsidRDefault="00052B4F" w:rsidP="00052B4F">
      <w:pPr>
        <w:rPr>
          <w:sz w:val="20"/>
          <w:szCs w:val="18"/>
        </w:rPr>
      </w:pPr>
    </w:p>
    <w:p w14:paraId="19E8FF26" w14:textId="77777777" w:rsidR="00052B4F" w:rsidRPr="0047000D" w:rsidRDefault="00052B4F" w:rsidP="00052B4F">
      <w:pPr>
        <w:rPr>
          <w:sz w:val="20"/>
          <w:szCs w:val="18"/>
        </w:rPr>
      </w:pPr>
      <w:r w:rsidRPr="0047000D">
        <w:rPr>
          <w:sz w:val="20"/>
          <w:szCs w:val="18"/>
        </w:rPr>
        <w:t>Academic governance plays a pivotal role in protecting the value of our qualifications over time. The Examination Board is a sub-committee of the Academic Board, which also oversees the value, academic standards and quality of our awards via annual monitoring, periodic review and validation and/or revalidation of programmes, as detailed in our Handbook of Quality Assurance and Enhancement. Academic Board provides an annual assurance to the Governing Body that it continues to manage and oversee the academic standards of awards and related quality of learning opportunities. The Governing Body, which includes an external academic member with significant higher education leadership experience who attends Academic Board, has consistently accepted this assurance. As an awarding College of the University of London, Central submits an annual quality enhancement report for consideration by the University Academic Quality Advisory Committee and subsequently the University of London Collegiate Council.</w:t>
      </w:r>
    </w:p>
    <w:p w14:paraId="1A911938" w14:textId="77777777" w:rsidR="00052B4F" w:rsidRPr="0047000D" w:rsidRDefault="00052B4F" w:rsidP="00052B4F">
      <w:pPr>
        <w:rPr>
          <w:sz w:val="20"/>
          <w:szCs w:val="18"/>
        </w:rPr>
      </w:pPr>
    </w:p>
    <w:p w14:paraId="4B81269A"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4</w:t>
      </w:r>
      <w:r w:rsidRPr="001A4939">
        <w:rPr>
          <w:b/>
          <w:bCs/>
          <w:color w:val="FFFFFF" w:themeColor="background1"/>
          <w:sz w:val="20"/>
          <w:szCs w:val="18"/>
        </w:rPr>
        <w:tab/>
        <w:t>Classification algorithms</w:t>
      </w:r>
    </w:p>
    <w:p w14:paraId="34B2B0B2" w14:textId="77777777" w:rsidR="00052B4F" w:rsidRDefault="00052B4F" w:rsidP="00052B4F">
      <w:pPr>
        <w:rPr>
          <w:sz w:val="20"/>
          <w:szCs w:val="18"/>
        </w:rPr>
      </w:pPr>
    </w:p>
    <w:p w14:paraId="463172D5" w14:textId="77777777" w:rsidR="00052B4F" w:rsidRPr="0047000D" w:rsidRDefault="00052B4F" w:rsidP="00052B4F">
      <w:pPr>
        <w:rPr>
          <w:sz w:val="20"/>
          <w:szCs w:val="18"/>
        </w:rPr>
      </w:pPr>
      <w:r w:rsidRPr="0047000D">
        <w:rPr>
          <w:sz w:val="20"/>
          <w:szCs w:val="18"/>
        </w:rPr>
        <w:t>Central’s undergraduate degrees are calculated using a single algorithm to calculate all final student marks:</w:t>
      </w:r>
    </w:p>
    <w:p w14:paraId="720F2ADF" w14:textId="77777777" w:rsidR="00052B4F" w:rsidRPr="0047000D" w:rsidRDefault="00052B4F" w:rsidP="00052B4F">
      <w:pPr>
        <w:rPr>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052B4F" w:rsidRPr="0047000D" w14:paraId="1D48982B" w14:textId="77777777" w:rsidTr="00392D28">
        <w:tc>
          <w:tcPr>
            <w:tcW w:w="3483" w:type="dxa"/>
          </w:tcPr>
          <w:p w14:paraId="4AEC9084" w14:textId="77777777" w:rsidR="00052B4F" w:rsidRPr="0047000D" w:rsidRDefault="00052B4F" w:rsidP="00392D28">
            <w:pPr>
              <w:jc w:val="center"/>
              <w:rPr>
                <w:b/>
                <w:bCs/>
                <w:sz w:val="20"/>
                <w:szCs w:val="18"/>
              </w:rPr>
            </w:pPr>
            <w:r w:rsidRPr="0047000D">
              <w:rPr>
                <w:b/>
                <w:bCs/>
                <w:sz w:val="20"/>
                <w:szCs w:val="18"/>
              </w:rPr>
              <w:t>Undergraduate Year</w:t>
            </w:r>
          </w:p>
        </w:tc>
        <w:tc>
          <w:tcPr>
            <w:tcW w:w="3483" w:type="dxa"/>
          </w:tcPr>
          <w:p w14:paraId="7070FA2E" w14:textId="77777777" w:rsidR="00052B4F" w:rsidRPr="0047000D" w:rsidRDefault="00052B4F" w:rsidP="00392D28">
            <w:pPr>
              <w:jc w:val="center"/>
              <w:rPr>
                <w:b/>
                <w:bCs/>
                <w:sz w:val="20"/>
                <w:szCs w:val="18"/>
              </w:rPr>
            </w:pPr>
            <w:r w:rsidRPr="0047000D">
              <w:rPr>
                <w:b/>
                <w:bCs/>
                <w:sz w:val="20"/>
                <w:szCs w:val="18"/>
              </w:rPr>
              <w:t>Credits</w:t>
            </w:r>
          </w:p>
        </w:tc>
        <w:tc>
          <w:tcPr>
            <w:tcW w:w="3484" w:type="dxa"/>
          </w:tcPr>
          <w:p w14:paraId="393ABBEF" w14:textId="77777777" w:rsidR="00052B4F" w:rsidRPr="0047000D" w:rsidRDefault="00052B4F" w:rsidP="00392D28">
            <w:pPr>
              <w:jc w:val="center"/>
              <w:rPr>
                <w:b/>
                <w:bCs/>
                <w:sz w:val="20"/>
                <w:szCs w:val="18"/>
              </w:rPr>
            </w:pPr>
            <w:r w:rsidRPr="0047000D">
              <w:rPr>
                <w:b/>
                <w:bCs/>
                <w:sz w:val="20"/>
                <w:szCs w:val="18"/>
              </w:rPr>
              <w:t>Weighting within Calculation</w:t>
            </w:r>
          </w:p>
        </w:tc>
      </w:tr>
      <w:tr w:rsidR="00052B4F" w:rsidRPr="0047000D" w14:paraId="341C551C" w14:textId="77777777" w:rsidTr="00392D28">
        <w:tc>
          <w:tcPr>
            <w:tcW w:w="3483" w:type="dxa"/>
          </w:tcPr>
          <w:p w14:paraId="05026305" w14:textId="77777777" w:rsidR="00052B4F" w:rsidRPr="0047000D" w:rsidRDefault="00052B4F" w:rsidP="00392D28">
            <w:pPr>
              <w:jc w:val="center"/>
              <w:rPr>
                <w:sz w:val="20"/>
                <w:szCs w:val="18"/>
              </w:rPr>
            </w:pPr>
            <w:r w:rsidRPr="0047000D">
              <w:rPr>
                <w:sz w:val="20"/>
                <w:szCs w:val="18"/>
              </w:rPr>
              <w:t>Year 1</w:t>
            </w:r>
          </w:p>
        </w:tc>
        <w:tc>
          <w:tcPr>
            <w:tcW w:w="3483" w:type="dxa"/>
          </w:tcPr>
          <w:p w14:paraId="479D6F89" w14:textId="77777777" w:rsidR="00052B4F" w:rsidRPr="0047000D" w:rsidRDefault="00052B4F" w:rsidP="00392D28">
            <w:pPr>
              <w:jc w:val="center"/>
              <w:rPr>
                <w:sz w:val="20"/>
                <w:szCs w:val="18"/>
              </w:rPr>
            </w:pPr>
            <w:r w:rsidRPr="0047000D">
              <w:rPr>
                <w:sz w:val="20"/>
                <w:szCs w:val="18"/>
              </w:rPr>
              <w:t>120</w:t>
            </w:r>
          </w:p>
        </w:tc>
        <w:tc>
          <w:tcPr>
            <w:tcW w:w="3484" w:type="dxa"/>
          </w:tcPr>
          <w:p w14:paraId="7DCCC7DD" w14:textId="77777777" w:rsidR="00052B4F" w:rsidRPr="0047000D" w:rsidRDefault="00052B4F" w:rsidP="00392D28">
            <w:pPr>
              <w:jc w:val="center"/>
              <w:rPr>
                <w:sz w:val="20"/>
                <w:szCs w:val="18"/>
              </w:rPr>
            </w:pPr>
            <w:r w:rsidRPr="0047000D">
              <w:rPr>
                <w:sz w:val="20"/>
                <w:szCs w:val="18"/>
              </w:rPr>
              <w:t>0%</w:t>
            </w:r>
          </w:p>
        </w:tc>
      </w:tr>
      <w:tr w:rsidR="00052B4F" w:rsidRPr="0047000D" w14:paraId="387F3496" w14:textId="77777777" w:rsidTr="00392D28">
        <w:tc>
          <w:tcPr>
            <w:tcW w:w="3483" w:type="dxa"/>
          </w:tcPr>
          <w:p w14:paraId="3DF9D556" w14:textId="77777777" w:rsidR="00052B4F" w:rsidRPr="0047000D" w:rsidRDefault="00052B4F" w:rsidP="00392D28">
            <w:pPr>
              <w:jc w:val="center"/>
              <w:rPr>
                <w:sz w:val="20"/>
                <w:szCs w:val="18"/>
              </w:rPr>
            </w:pPr>
            <w:r w:rsidRPr="0047000D">
              <w:rPr>
                <w:sz w:val="20"/>
                <w:szCs w:val="18"/>
              </w:rPr>
              <w:t>Year 2</w:t>
            </w:r>
          </w:p>
        </w:tc>
        <w:tc>
          <w:tcPr>
            <w:tcW w:w="3483" w:type="dxa"/>
          </w:tcPr>
          <w:p w14:paraId="347A06A1" w14:textId="77777777" w:rsidR="00052B4F" w:rsidRPr="0047000D" w:rsidRDefault="00052B4F" w:rsidP="00392D28">
            <w:pPr>
              <w:jc w:val="center"/>
              <w:rPr>
                <w:sz w:val="20"/>
                <w:szCs w:val="18"/>
              </w:rPr>
            </w:pPr>
            <w:r w:rsidRPr="0047000D">
              <w:rPr>
                <w:sz w:val="20"/>
                <w:szCs w:val="18"/>
              </w:rPr>
              <w:t>60 + 60</w:t>
            </w:r>
          </w:p>
        </w:tc>
        <w:tc>
          <w:tcPr>
            <w:tcW w:w="3484" w:type="dxa"/>
          </w:tcPr>
          <w:p w14:paraId="485D25C8" w14:textId="77777777" w:rsidR="00052B4F" w:rsidRPr="0047000D" w:rsidRDefault="00052B4F" w:rsidP="00392D28">
            <w:pPr>
              <w:jc w:val="center"/>
              <w:rPr>
                <w:sz w:val="20"/>
                <w:szCs w:val="18"/>
              </w:rPr>
            </w:pPr>
            <w:r w:rsidRPr="0047000D">
              <w:rPr>
                <w:sz w:val="20"/>
                <w:szCs w:val="18"/>
              </w:rPr>
              <w:t>0% + 25%</w:t>
            </w:r>
          </w:p>
        </w:tc>
      </w:tr>
      <w:tr w:rsidR="00052B4F" w:rsidRPr="0047000D" w14:paraId="64BB2EF4" w14:textId="77777777" w:rsidTr="00392D28">
        <w:tc>
          <w:tcPr>
            <w:tcW w:w="3483" w:type="dxa"/>
          </w:tcPr>
          <w:p w14:paraId="03112A8C" w14:textId="77777777" w:rsidR="00052B4F" w:rsidRPr="0047000D" w:rsidRDefault="00052B4F" w:rsidP="00392D28">
            <w:pPr>
              <w:jc w:val="center"/>
              <w:rPr>
                <w:sz w:val="20"/>
                <w:szCs w:val="18"/>
              </w:rPr>
            </w:pPr>
            <w:r w:rsidRPr="0047000D">
              <w:rPr>
                <w:sz w:val="20"/>
                <w:szCs w:val="18"/>
              </w:rPr>
              <w:t>Year 3</w:t>
            </w:r>
          </w:p>
        </w:tc>
        <w:tc>
          <w:tcPr>
            <w:tcW w:w="3483" w:type="dxa"/>
          </w:tcPr>
          <w:p w14:paraId="4499FE59" w14:textId="77777777" w:rsidR="00052B4F" w:rsidRPr="0047000D" w:rsidRDefault="00052B4F" w:rsidP="00392D28">
            <w:pPr>
              <w:jc w:val="center"/>
              <w:rPr>
                <w:sz w:val="20"/>
                <w:szCs w:val="18"/>
              </w:rPr>
            </w:pPr>
            <w:r w:rsidRPr="0047000D">
              <w:rPr>
                <w:sz w:val="20"/>
                <w:szCs w:val="18"/>
              </w:rPr>
              <w:t>120</w:t>
            </w:r>
          </w:p>
        </w:tc>
        <w:tc>
          <w:tcPr>
            <w:tcW w:w="3484" w:type="dxa"/>
          </w:tcPr>
          <w:p w14:paraId="62BF6CBB" w14:textId="77777777" w:rsidR="00052B4F" w:rsidRPr="0047000D" w:rsidRDefault="00052B4F" w:rsidP="00392D28">
            <w:pPr>
              <w:jc w:val="center"/>
              <w:rPr>
                <w:sz w:val="20"/>
                <w:szCs w:val="18"/>
              </w:rPr>
            </w:pPr>
            <w:r w:rsidRPr="0047000D">
              <w:rPr>
                <w:sz w:val="20"/>
                <w:szCs w:val="18"/>
              </w:rPr>
              <w:t>75%</w:t>
            </w:r>
          </w:p>
        </w:tc>
      </w:tr>
    </w:tbl>
    <w:p w14:paraId="7C052B7E" w14:textId="77777777" w:rsidR="00052B4F" w:rsidRPr="0047000D" w:rsidRDefault="00052B4F" w:rsidP="00052B4F">
      <w:pPr>
        <w:rPr>
          <w:sz w:val="20"/>
          <w:szCs w:val="18"/>
        </w:rPr>
      </w:pPr>
    </w:p>
    <w:p w14:paraId="6D626D58" w14:textId="77777777" w:rsidR="00052B4F" w:rsidRPr="0047000D" w:rsidRDefault="00052B4F" w:rsidP="00052B4F">
      <w:pPr>
        <w:rPr>
          <w:sz w:val="20"/>
          <w:szCs w:val="18"/>
        </w:rPr>
      </w:pPr>
      <w:r w:rsidRPr="0047000D">
        <w:rPr>
          <w:sz w:val="20"/>
          <w:szCs w:val="18"/>
        </w:rPr>
        <w:t>This algorithm is weighted more heavily towards the latter stages of an undergraduate programme as a result of the practice-focused nature of our specialist degrees, where student learning and development follows a non-linear, curving trajectory as their skills develop and they begin to connect different aspects of their abilities (in parallel with the development of their academic learning). Students and the public are able to identify which units contribute to this weighting via our programme specifications, which are published online, and for students this is re-emphasised within assessment grids made available to them via our internal virtual learning environment. The decision about which second year units contribute to a classification is set by Course Leaders and approved as part of the validation process.</w:t>
      </w:r>
    </w:p>
    <w:p w14:paraId="7409AA73" w14:textId="77777777" w:rsidR="00052B4F" w:rsidRPr="0047000D" w:rsidRDefault="00052B4F" w:rsidP="00052B4F">
      <w:pPr>
        <w:rPr>
          <w:sz w:val="20"/>
          <w:szCs w:val="18"/>
        </w:rPr>
      </w:pPr>
    </w:p>
    <w:p w14:paraId="31DCE3C2" w14:textId="77777777" w:rsidR="00052B4F" w:rsidRPr="0047000D" w:rsidRDefault="00052B4F" w:rsidP="00052B4F">
      <w:pPr>
        <w:rPr>
          <w:sz w:val="20"/>
          <w:szCs w:val="18"/>
        </w:rPr>
      </w:pPr>
      <w:r w:rsidRPr="0047000D">
        <w:rPr>
          <w:sz w:val="20"/>
          <w:szCs w:val="18"/>
        </w:rPr>
        <w:t>Students are allowed a first attempt at every assessment, followed by a capped resit should they fail to reach the minimum passing mark (40%). Students can exceptionally be granted uncapped second sit, or in rare cases, a capped or uncapped third sit, as an outcome of a successful application to the School’s Mitigating Circumstances Panel. This is in line with sector norms. The final classification of a student’s undergraduate award is determined using the above algorithm at the following thresholds, in line with common practice for English higher education providers:</w:t>
      </w:r>
    </w:p>
    <w:p w14:paraId="021A4533" w14:textId="77777777" w:rsidR="00052B4F" w:rsidRPr="0047000D" w:rsidRDefault="00052B4F" w:rsidP="00052B4F">
      <w:pPr>
        <w:rPr>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052B4F" w:rsidRPr="0047000D" w14:paraId="3B5540DD" w14:textId="77777777" w:rsidTr="00392D28">
        <w:tc>
          <w:tcPr>
            <w:tcW w:w="3483" w:type="dxa"/>
          </w:tcPr>
          <w:p w14:paraId="44DD6016" w14:textId="77777777" w:rsidR="00052B4F" w:rsidRPr="0047000D" w:rsidRDefault="00052B4F" w:rsidP="00392D28">
            <w:pPr>
              <w:rPr>
                <w:b/>
                <w:bCs/>
                <w:sz w:val="20"/>
                <w:szCs w:val="18"/>
              </w:rPr>
            </w:pPr>
            <w:r w:rsidRPr="0047000D">
              <w:rPr>
                <w:b/>
                <w:bCs/>
                <w:sz w:val="20"/>
                <w:szCs w:val="18"/>
              </w:rPr>
              <w:t>Type of classification</w:t>
            </w:r>
          </w:p>
        </w:tc>
        <w:tc>
          <w:tcPr>
            <w:tcW w:w="3483" w:type="dxa"/>
          </w:tcPr>
          <w:p w14:paraId="7BBC0C6D" w14:textId="77777777" w:rsidR="00052B4F" w:rsidRPr="0047000D" w:rsidRDefault="00052B4F" w:rsidP="00392D28">
            <w:pPr>
              <w:rPr>
                <w:b/>
                <w:bCs/>
                <w:sz w:val="20"/>
                <w:szCs w:val="18"/>
              </w:rPr>
            </w:pPr>
            <w:r w:rsidRPr="0047000D">
              <w:rPr>
                <w:b/>
                <w:bCs/>
                <w:sz w:val="20"/>
                <w:szCs w:val="18"/>
              </w:rPr>
              <w:t>Lower final mark threshold</w:t>
            </w:r>
          </w:p>
        </w:tc>
        <w:tc>
          <w:tcPr>
            <w:tcW w:w="3484" w:type="dxa"/>
          </w:tcPr>
          <w:p w14:paraId="783599AC" w14:textId="77777777" w:rsidR="00052B4F" w:rsidRPr="0047000D" w:rsidRDefault="00052B4F" w:rsidP="00392D28">
            <w:pPr>
              <w:rPr>
                <w:b/>
                <w:bCs/>
                <w:sz w:val="20"/>
                <w:szCs w:val="18"/>
              </w:rPr>
            </w:pPr>
            <w:r w:rsidRPr="0047000D">
              <w:rPr>
                <w:b/>
                <w:bCs/>
                <w:sz w:val="20"/>
                <w:szCs w:val="18"/>
              </w:rPr>
              <w:t>Upper final mark threshold</w:t>
            </w:r>
          </w:p>
        </w:tc>
      </w:tr>
      <w:tr w:rsidR="00052B4F" w:rsidRPr="0047000D" w14:paraId="75471B7C" w14:textId="77777777" w:rsidTr="00392D28">
        <w:tc>
          <w:tcPr>
            <w:tcW w:w="3483" w:type="dxa"/>
          </w:tcPr>
          <w:p w14:paraId="50A62EFB" w14:textId="77777777" w:rsidR="00052B4F" w:rsidRPr="0047000D" w:rsidRDefault="00052B4F" w:rsidP="00392D28">
            <w:pPr>
              <w:rPr>
                <w:sz w:val="20"/>
                <w:szCs w:val="18"/>
              </w:rPr>
            </w:pPr>
            <w:r w:rsidRPr="0047000D">
              <w:rPr>
                <w:sz w:val="20"/>
                <w:szCs w:val="18"/>
              </w:rPr>
              <w:t>First class award</w:t>
            </w:r>
          </w:p>
        </w:tc>
        <w:tc>
          <w:tcPr>
            <w:tcW w:w="3483" w:type="dxa"/>
          </w:tcPr>
          <w:p w14:paraId="12654514" w14:textId="77777777" w:rsidR="00052B4F" w:rsidRPr="0047000D" w:rsidRDefault="00052B4F" w:rsidP="00392D28">
            <w:pPr>
              <w:jc w:val="center"/>
              <w:rPr>
                <w:sz w:val="20"/>
                <w:szCs w:val="18"/>
              </w:rPr>
            </w:pPr>
            <w:r w:rsidRPr="0047000D">
              <w:rPr>
                <w:sz w:val="20"/>
                <w:szCs w:val="18"/>
              </w:rPr>
              <w:t>70%</w:t>
            </w:r>
          </w:p>
        </w:tc>
        <w:tc>
          <w:tcPr>
            <w:tcW w:w="3484" w:type="dxa"/>
          </w:tcPr>
          <w:p w14:paraId="5217C756" w14:textId="77777777" w:rsidR="00052B4F" w:rsidRPr="0047000D" w:rsidRDefault="00052B4F" w:rsidP="00392D28">
            <w:pPr>
              <w:jc w:val="center"/>
              <w:rPr>
                <w:sz w:val="20"/>
                <w:szCs w:val="18"/>
              </w:rPr>
            </w:pPr>
            <w:r w:rsidRPr="0047000D">
              <w:rPr>
                <w:sz w:val="20"/>
                <w:szCs w:val="18"/>
              </w:rPr>
              <w:t>100%</w:t>
            </w:r>
          </w:p>
        </w:tc>
      </w:tr>
      <w:tr w:rsidR="00052B4F" w:rsidRPr="0047000D" w14:paraId="1BB2A94E" w14:textId="77777777" w:rsidTr="00392D28">
        <w:tc>
          <w:tcPr>
            <w:tcW w:w="3483" w:type="dxa"/>
          </w:tcPr>
          <w:p w14:paraId="43F65DCE" w14:textId="77777777" w:rsidR="00052B4F" w:rsidRPr="0047000D" w:rsidRDefault="00052B4F" w:rsidP="00392D28">
            <w:pPr>
              <w:rPr>
                <w:sz w:val="20"/>
                <w:szCs w:val="18"/>
              </w:rPr>
            </w:pPr>
            <w:r w:rsidRPr="0047000D">
              <w:rPr>
                <w:sz w:val="20"/>
                <w:szCs w:val="18"/>
              </w:rPr>
              <w:t>Upper second class award</w:t>
            </w:r>
          </w:p>
        </w:tc>
        <w:tc>
          <w:tcPr>
            <w:tcW w:w="3483" w:type="dxa"/>
          </w:tcPr>
          <w:p w14:paraId="5D79881E" w14:textId="77777777" w:rsidR="00052B4F" w:rsidRPr="0047000D" w:rsidRDefault="00052B4F" w:rsidP="00392D28">
            <w:pPr>
              <w:jc w:val="center"/>
              <w:rPr>
                <w:sz w:val="20"/>
                <w:szCs w:val="18"/>
              </w:rPr>
            </w:pPr>
            <w:r w:rsidRPr="0047000D">
              <w:rPr>
                <w:sz w:val="20"/>
                <w:szCs w:val="18"/>
              </w:rPr>
              <w:t>60%</w:t>
            </w:r>
          </w:p>
        </w:tc>
        <w:tc>
          <w:tcPr>
            <w:tcW w:w="3484" w:type="dxa"/>
          </w:tcPr>
          <w:p w14:paraId="1A67D066" w14:textId="77777777" w:rsidR="00052B4F" w:rsidRPr="0047000D" w:rsidRDefault="00052B4F" w:rsidP="00392D28">
            <w:pPr>
              <w:jc w:val="center"/>
              <w:rPr>
                <w:sz w:val="20"/>
                <w:szCs w:val="18"/>
              </w:rPr>
            </w:pPr>
            <w:r w:rsidRPr="0047000D">
              <w:rPr>
                <w:sz w:val="20"/>
                <w:szCs w:val="18"/>
              </w:rPr>
              <w:t>69.49%</w:t>
            </w:r>
          </w:p>
        </w:tc>
      </w:tr>
      <w:tr w:rsidR="00052B4F" w:rsidRPr="0047000D" w14:paraId="19E6CF6D" w14:textId="77777777" w:rsidTr="00392D28">
        <w:tc>
          <w:tcPr>
            <w:tcW w:w="3483" w:type="dxa"/>
          </w:tcPr>
          <w:p w14:paraId="3015DD6B" w14:textId="77777777" w:rsidR="00052B4F" w:rsidRPr="0047000D" w:rsidRDefault="00052B4F" w:rsidP="00392D28">
            <w:pPr>
              <w:rPr>
                <w:sz w:val="20"/>
                <w:szCs w:val="18"/>
              </w:rPr>
            </w:pPr>
            <w:r w:rsidRPr="0047000D">
              <w:rPr>
                <w:sz w:val="20"/>
                <w:szCs w:val="18"/>
              </w:rPr>
              <w:t>Lower second class award</w:t>
            </w:r>
          </w:p>
        </w:tc>
        <w:tc>
          <w:tcPr>
            <w:tcW w:w="3483" w:type="dxa"/>
          </w:tcPr>
          <w:p w14:paraId="51DC21AB" w14:textId="77777777" w:rsidR="00052B4F" w:rsidRPr="0047000D" w:rsidRDefault="00052B4F" w:rsidP="00392D28">
            <w:pPr>
              <w:jc w:val="center"/>
              <w:rPr>
                <w:sz w:val="20"/>
                <w:szCs w:val="18"/>
              </w:rPr>
            </w:pPr>
            <w:r w:rsidRPr="0047000D">
              <w:rPr>
                <w:sz w:val="20"/>
                <w:szCs w:val="18"/>
              </w:rPr>
              <w:t>50%</w:t>
            </w:r>
          </w:p>
        </w:tc>
        <w:tc>
          <w:tcPr>
            <w:tcW w:w="3484" w:type="dxa"/>
          </w:tcPr>
          <w:p w14:paraId="0504881F" w14:textId="77777777" w:rsidR="00052B4F" w:rsidRPr="0047000D" w:rsidRDefault="00052B4F" w:rsidP="00392D28">
            <w:pPr>
              <w:jc w:val="center"/>
              <w:rPr>
                <w:sz w:val="20"/>
                <w:szCs w:val="18"/>
              </w:rPr>
            </w:pPr>
            <w:r w:rsidRPr="0047000D">
              <w:rPr>
                <w:sz w:val="20"/>
                <w:szCs w:val="18"/>
              </w:rPr>
              <w:t>59.49%</w:t>
            </w:r>
          </w:p>
        </w:tc>
      </w:tr>
      <w:tr w:rsidR="00052B4F" w:rsidRPr="0047000D" w14:paraId="5E889852" w14:textId="77777777" w:rsidTr="00392D28">
        <w:tc>
          <w:tcPr>
            <w:tcW w:w="3483" w:type="dxa"/>
          </w:tcPr>
          <w:p w14:paraId="46B04AFC" w14:textId="77777777" w:rsidR="00052B4F" w:rsidRPr="0047000D" w:rsidRDefault="00052B4F" w:rsidP="00392D28">
            <w:pPr>
              <w:rPr>
                <w:sz w:val="20"/>
                <w:szCs w:val="18"/>
              </w:rPr>
            </w:pPr>
            <w:r w:rsidRPr="0047000D">
              <w:rPr>
                <w:sz w:val="20"/>
                <w:szCs w:val="18"/>
              </w:rPr>
              <w:t>Third class award</w:t>
            </w:r>
          </w:p>
        </w:tc>
        <w:tc>
          <w:tcPr>
            <w:tcW w:w="3483" w:type="dxa"/>
          </w:tcPr>
          <w:p w14:paraId="74397CD6" w14:textId="77777777" w:rsidR="00052B4F" w:rsidRPr="0047000D" w:rsidRDefault="00052B4F" w:rsidP="00392D28">
            <w:pPr>
              <w:jc w:val="center"/>
              <w:rPr>
                <w:sz w:val="20"/>
                <w:szCs w:val="18"/>
              </w:rPr>
            </w:pPr>
            <w:r w:rsidRPr="0047000D">
              <w:rPr>
                <w:sz w:val="20"/>
                <w:szCs w:val="18"/>
              </w:rPr>
              <w:t>40%</w:t>
            </w:r>
          </w:p>
        </w:tc>
        <w:tc>
          <w:tcPr>
            <w:tcW w:w="3484" w:type="dxa"/>
          </w:tcPr>
          <w:p w14:paraId="5C770F08" w14:textId="77777777" w:rsidR="00052B4F" w:rsidRPr="0047000D" w:rsidRDefault="00052B4F" w:rsidP="00392D28">
            <w:pPr>
              <w:jc w:val="center"/>
              <w:rPr>
                <w:sz w:val="20"/>
                <w:szCs w:val="18"/>
              </w:rPr>
            </w:pPr>
            <w:r w:rsidRPr="0047000D">
              <w:rPr>
                <w:sz w:val="20"/>
                <w:szCs w:val="18"/>
              </w:rPr>
              <w:t>49.49%</w:t>
            </w:r>
          </w:p>
        </w:tc>
      </w:tr>
      <w:tr w:rsidR="00052B4F" w:rsidRPr="0047000D" w14:paraId="769E63A9" w14:textId="77777777" w:rsidTr="00392D28">
        <w:tc>
          <w:tcPr>
            <w:tcW w:w="3483" w:type="dxa"/>
          </w:tcPr>
          <w:p w14:paraId="394869A4" w14:textId="77777777" w:rsidR="00052B4F" w:rsidRPr="0047000D" w:rsidRDefault="00052B4F" w:rsidP="00392D28">
            <w:pPr>
              <w:rPr>
                <w:sz w:val="20"/>
                <w:szCs w:val="18"/>
              </w:rPr>
            </w:pPr>
            <w:r w:rsidRPr="0047000D">
              <w:rPr>
                <w:sz w:val="20"/>
                <w:szCs w:val="18"/>
              </w:rPr>
              <w:t>Pass (non-honours only)</w:t>
            </w:r>
          </w:p>
        </w:tc>
        <w:tc>
          <w:tcPr>
            <w:tcW w:w="3483" w:type="dxa"/>
          </w:tcPr>
          <w:p w14:paraId="2A0988FA" w14:textId="77777777" w:rsidR="00052B4F" w:rsidRPr="0047000D" w:rsidRDefault="00052B4F" w:rsidP="00392D28">
            <w:pPr>
              <w:jc w:val="center"/>
              <w:rPr>
                <w:sz w:val="20"/>
                <w:szCs w:val="18"/>
              </w:rPr>
            </w:pPr>
            <w:r w:rsidRPr="0047000D">
              <w:rPr>
                <w:sz w:val="20"/>
                <w:szCs w:val="18"/>
              </w:rPr>
              <w:t>40%</w:t>
            </w:r>
          </w:p>
        </w:tc>
        <w:tc>
          <w:tcPr>
            <w:tcW w:w="3484" w:type="dxa"/>
          </w:tcPr>
          <w:p w14:paraId="4AD8B4D6" w14:textId="77777777" w:rsidR="00052B4F" w:rsidRPr="0047000D" w:rsidRDefault="00052B4F" w:rsidP="00392D28">
            <w:pPr>
              <w:jc w:val="center"/>
              <w:rPr>
                <w:sz w:val="20"/>
                <w:szCs w:val="18"/>
              </w:rPr>
            </w:pPr>
            <w:r w:rsidRPr="0047000D">
              <w:rPr>
                <w:sz w:val="20"/>
                <w:szCs w:val="18"/>
              </w:rPr>
              <w:t>100%</w:t>
            </w:r>
          </w:p>
        </w:tc>
      </w:tr>
      <w:tr w:rsidR="00052B4F" w:rsidRPr="0047000D" w14:paraId="2BA68504" w14:textId="77777777" w:rsidTr="00392D28">
        <w:tc>
          <w:tcPr>
            <w:tcW w:w="3483" w:type="dxa"/>
          </w:tcPr>
          <w:p w14:paraId="35623624" w14:textId="77777777" w:rsidR="00052B4F" w:rsidRPr="0047000D" w:rsidRDefault="00052B4F" w:rsidP="00392D28">
            <w:pPr>
              <w:rPr>
                <w:sz w:val="20"/>
                <w:szCs w:val="18"/>
              </w:rPr>
            </w:pPr>
            <w:r w:rsidRPr="0047000D">
              <w:rPr>
                <w:sz w:val="20"/>
                <w:szCs w:val="18"/>
              </w:rPr>
              <w:t xml:space="preserve">Fail </w:t>
            </w:r>
          </w:p>
        </w:tc>
        <w:tc>
          <w:tcPr>
            <w:tcW w:w="3483" w:type="dxa"/>
          </w:tcPr>
          <w:p w14:paraId="13C3E4B6" w14:textId="77777777" w:rsidR="00052B4F" w:rsidRPr="0047000D" w:rsidRDefault="00052B4F" w:rsidP="00392D28">
            <w:pPr>
              <w:jc w:val="center"/>
              <w:rPr>
                <w:sz w:val="20"/>
                <w:szCs w:val="18"/>
              </w:rPr>
            </w:pPr>
            <w:r w:rsidRPr="0047000D">
              <w:rPr>
                <w:sz w:val="20"/>
                <w:szCs w:val="18"/>
              </w:rPr>
              <w:t>0%</w:t>
            </w:r>
          </w:p>
        </w:tc>
        <w:tc>
          <w:tcPr>
            <w:tcW w:w="3484" w:type="dxa"/>
          </w:tcPr>
          <w:p w14:paraId="5D29E797" w14:textId="77777777" w:rsidR="00052B4F" w:rsidRPr="0047000D" w:rsidRDefault="00052B4F" w:rsidP="00392D28">
            <w:pPr>
              <w:jc w:val="center"/>
              <w:rPr>
                <w:sz w:val="20"/>
                <w:szCs w:val="18"/>
              </w:rPr>
            </w:pPr>
            <w:r w:rsidRPr="0047000D">
              <w:rPr>
                <w:sz w:val="20"/>
                <w:szCs w:val="18"/>
              </w:rPr>
              <w:t>39.49%</w:t>
            </w:r>
          </w:p>
        </w:tc>
      </w:tr>
    </w:tbl>
    <w:p w14:paraId="2E49B947" w14:textId="77777777" w:rsidR="00052B4F" w:rsidRPr="0047000D" w:rsidRDefault="00052B4F" w:rsidP="00052B4F">
      <w:pPr>
        <w:rPr>
          <w:sz w:val="20"/>
          <w:szCs w:val="18"/>
        </w:rPr>
      </w:pPr>
    </w:p>
    <w:p w14:paraId="5D55B5ED"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5</w:t>
      </w:r>
      <w:r w:rsidRPr="001A4939">
        <w:rPr>
          <w:b/>
          <w:bCs/>
          <w:color w:val="FFFFFF" w:themeColor="background1"/>
          <w:sz w:val="20"/>
          <w:szCs w:val="18"/>
        </w:rPr>
        <w:tab/>
        <w:t>Teaching practices and learning resources</w:t>
      </w:r>
    </w:p>
    <w:p w14:paraId="3C313CD5" w14:textId="77777777" w:rsidR="00052B4F" w:rsidRDefault="00052B4F" w:rsidP="00052B4F">
      <w:pPr>
        <w:rPr>
          <w:sz w:val="20"/>
          <w:szCs w:val="18"/>
        </w:rPr>
      </w:pPr>
    </w:p>
    <w:p w14:paraId="47F79B42" w14:textId="77777777" w:rsidR="00052B4F" w:rsidRPr="0047000D" w:rsidRDefault="00052B4F" w:rsidP="00052B4F">
      <w:pPr>
        <w:rPr>
          <w:sz w:val="20"/>
          <w:szCs w:val="18"/>
        </w:rPr>
      </w:pPr>
      <w:r w:rsidRPr="0047000D">
        <w:rPr>
          <w:sz w:val="20"/>
          <w:szCs w:val="18"/>
        </w:rPr>
        <w:t xml:space="preserve">Three key enhancements </w:t>
      </w:r>
      <w:r>
        <w:rPr>
          <w:sz w:val="20"/>
          <w:szCs w:val="18"/>
        </w:rPr>
        <w:t xml:space="preserve">continue to </w:t>
      </w:r>
      <w:r w:rsidRPr="0047000D">
        <w:rPr>
          <w:sz w:val="20"/>
          <w:szCs w:val="18"/>
        </w:rPr>
        <w:t>benefit our teaching practices and learning resources:</w:t>
      </w:r>
    </w:p>
    <w:p w14:paraId="010C11B1" w14:textId="77777777" w:rsidR="00052B4F" w:rsidRPr="0047000D" w:rsidRDefault="00052B4F" w:rsidP="00052B4F">
      <w:pPr>
        <w:pStyle w:val="ListParagraph"/>
        <w:numPr>
          <w:ilvl w:val="0"/>
          <w:numId w:val="2"/>
        </w:numPr>
        <w:rPr>
          <w:sz w:val="20"/>
          <w:szCs w:val="18"/>
        </w:rPr>
      </w:pPr>
      <w:r w:rsidRPr="0047000D">
        <w:rPr>
          <w:sz w:val="20"/>
          <w:szCs w:val="18"/>
        </w:rPr>
        <w:t>An increase in the number of academic staff and technical support staff with an accredited teaching qualification (including the successful recognition of two members of staff as National Teaching Fellows in successive years);</w:t>
      </w:r>
    </w:p>
    <w:p w14:paraId="470F5731" w14:textId="77777777" w:rsidR="00052B4F" w:rsidRPr="0047000D" w:rsidRDefault="00052B4F" w:rsidP="00052B4F">
      <w:pPr>
        <w:pStyle w:val="ListParagraph"/>
        <w:numPr>
          <w:ilvl w:val="0"/>
          <w:numId w:val="2"/>
        </w:numPr>
        <w:rPr>
          <w:sz w:val="20"/>
          <w:szCs w:val="18"/>
        </w:rPr>
      </w:pPr>
      <w:r w:rsidRPr="0047000D">
        <w:rPr>
          <w:sz w:val="20"/>
          <w:szCs w:val="18"/>
        </w:rPr>
        <w:t>An increase in the provision of support and adjustments for students with learning differences, disabilities and mental health needs as well as care leavers;</w:t>
      </w:r>
    </w:p>
    <w:p w14:paraId="3290CCDE" w14:textId="77777777" w:rsidR="00052B4F" w:rsidRPr="0047000D" w:rsidRDefault="00052B4F" w:rsidP="00052B4F">
      <w:pPr>
        <w:pStyle w:val="ListParagraph"/>
        <w:numPr>
          <w:ilvl w:val="0"/>
          <w:numId w:val="2"/>
        </w:numPr>
        <w:rPr>
          <w:sz w:val="20"/>
          <w:szCs w:val="18"/>
        </w:rPr>
      </w:pPr>
      <w:r w:rsidRPr="0047000D">
        <w:rPr>
          <w:sz w:val="20"/>
          <w:szCs w:val="18"/>
        </w:rPr>
        <w:t>Introducing more flexible methods of submission and feedback for students, such as: visual essays, major projects being a mixture of ‘artefacts’ or documentation of practice and writing, and formalising oral (and recorded) student feedback to more closely align with creative arts practice.</w:t>
      </w:r>
    </w:p>
    <w:p w14:paraId="78102C53" w14:textId="77777777" w:rsidR="00052B4F" w:rsidRPr="0047000D" w:rsidRDefault="00052B4F" w:rsidP="00052B4F">
      <w:pPr>
        <w:rPr>
          <w:sz w:val="20"/>
          <w:szCs w:val="18"/>
        </w:rPr>
      </w:pPr>
    </w:p>
    <w:p w14:paraId="1F815787"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6</w:t>
      </w:r>
      <w:r w:rsidRPr="001A4939">
        <w:rPr>
          <w:b/>
          <w:bCs/>
          <w:color w:val="FFFFFF" w:themeColor="background1"/>
          <w:sz w:val="20"/>
          <w:szCs w:val="18"/>
        </w:rPr>
        <w:tab/>
        <w:t>Identifying good practice and actions</w:t>
      </w:r>
    </w:p>
    <w:p w14:paraId="400794C2" w14:textId="77777777" w:rsidR="00052B4F" w:rsidRDefault="00052B4F" w:rsidP="00052B4F">
      <w:pPr>
        <w:rPr>
          <w:sz w:val="20"/>
          <w:szCs w:val="18"/>
        </w:rPr>
      </w:pPr>
    </w:p>
    <w:p w14:paraId="7DE2B196" w14:textId="77777777" w:rsidR="00052B4F" w:rsidRPr="0047000D" w:rsidRDefault="00052B4F" w:rsidP="00052B4F">
      <w:pPr>
        <w:rPr>
          <w:sz w:val="20"/>
          <w:szCs w:val="18"/>
        </w:rPr>
      </w:pPr>
      <w:r w:rsidRPr="0047000D">
        <w:rPr>
          <w:sz w:val="20"/>
          <w:szCs w:val="18"/>
        </w:rPr>
        <w:t>External examiners in their reports have commended the School’s approaches to double marking and moderation, the quality of student feedback, as well as the consideration given to individual students through Examination Board processes.</w:t>
      </w:r>
    </w:p>
    <w:p w14:paraId="7CC3C2E5" w14:textId="77777777" w:rsidR="00052B4F" w:rsidRPr="0047000D" w:rsidRDefault="00052B4F" w:rsidP="00052B4F">
      <w:pPr>
        <w:rPr>
          <w:sz w:val="20"/>
          <w:szCs w:val="18"/>
        </w:rPr>
      </w:pPr>
      <w:r>
        <w:rPr>
          <w:sz w:val="20"/>
          <w:szCs w:val="18"/>
        </w:rPr>
        <w:t xml:space="preserve">The </w:t>
      </w:r>
      <w:r w:rsidRPr="0047000D">
        <w:rPr>
          <w:sz w:val="20"/>
          <w:szCs w:val="18"/>
        </w:rPr>
        <w:t xml:space="preserve">key actions </w:t>
      </w:r>
      <w:r>
        <w:rPr>
          <w:sz w:val="20"/>
          <w:szCs w:val="18"/>
        </w:rPr>
        <w:t>identified for 2019/20 were delayed as a result of the pandemic, but remain scheduled</w:t>
      </w:r>
      <w:r w:rsidRPr="0047000D">
        <w:rPr>
          <w:sz w:val="20"/>
          <w:szCs w:val="18"/>
        </w:rPr>
        <w:t>:</w:t>
      </w:r>
    </w:p>
    <w:p w14:paraId="7D18D1AF" w14:textId="77777777" w:rsidR="00052B4F" w:rsidRPr="0047000D" w:rsidRDefault="00052B4F" w:rsidP="00052B4F">
      <w:pPr>
        <w:pStyle w:val="ListParagraph"/>
        <w:numPr>
          <w:ilvl w:val="0"/>
          <w:numId w:val="2"/>
        </w:numPr>
        <w:rPr>
          <w:sz w:val="20"/>
          <w:szCs w:val="18"/>
        </w:rPr>
      </w:pPr>
      <w:r w:rsidRPr="0047000D">
        <w:rPr>
          <w:sz w:val="20"/>
          <w:szCs w:val="18"/>
        </w:rPr>
        <w:t>Analysis of student outcomes at the level of course, unit and assessment to consider potential causes of differential attainment;</w:t>
      </w:r>
    </w:p>
    <w:p w14:paraId="3C312893" w14:textId="77777777" w:rsidR="00052B4F" w:rsidRPr="0047000D" w:rsidRDefault="00052B4F" w:rsidP="00052B4F">
      <w:pPr>
        <w:pStyle w:val="ListParagraph"/>
        <w:numPr>
          <w:ilvl w:val="0"/>
          <w:numId w:val="2"/>
        </w:numPr>
        <w:rPr>
          <w:sz w:val="20"/>
          <w:szCs w:val="18"/>
        </w:rPr>
      </w:pPr>
      <w:r w:rsidRPr="0047000D">
        <w:rPr>
          <w:sz w:val="20"/>
          <w:szCs w:val="18"/>
        </w:rPr>
        <w:t>Finalising the development of revised assessment criteria and marking descriptors (at 10% intervals from 0% to 100%) which have already been scrutinised by external examiners for introduction in 2020/21.</w:t>
      </w:r>
    </w:p>
    <w:p w14:paraId="44EE6EF0" w14:textId="77777777" w:rsidR="00052B4F" w:rsidRPr="0047000D" w:rsidRDefault="00052B4F" w:rsidP="00052B4F">
      <w:pPr>
        <w:rPr>
          <w:sz w:val="20"/>
          <w:szCs w:val="18"/>
        </w:rPr>
      </w:pPr>
    </w:p>
    <w:p w14:paraId="0A22B75F" w14:textId="77777777" w:rsidR="00052B4F" w:rsidRPr="001A4939" w:rsidRDefault="00052B4F" w:rsidP="00052B4F">
      <w:pPr>
        <w:shd w:val="clear" w:color="auto" w:fill="FF0000"/>
        <w:rPr>
          <w:b/>
          <w:bCs/>
          <w:color w:val="FFFFFF" w:themeColor="background1"/>
          <w:sz w:val="20"/>
          <w:szCs w:val="18"/>
        </w:rPr>
      </w:pPr>
      <w:r w:rsidRPr="001A4939">
        <w:rPr>
          <w:b/>
          <w:bCs/>
          <w:color w:val="FFFFFF" w:themeColor="background1"/>
          <w:sz w:val="20"/>
          <w:szCs w:val="18"/>
        </w:rPr>
        <w:t>7</w:t>
      </w:r>
      <w:r w:rsidRPr="001A4939">
        <w:rPr>
          <w:b/>
          <w:bCs/>
          <w:color w:val="FFFFFF" w:themeColor="background1"/>
          <w:sz w:val="20"/>
          <w:szCs w:val="18"/>
        </w:rPr>
        <w:tab/>
        <w:t>Risks and challenges</w:t>
      </w:r>
    </w:p>
    <w:p w14:paraId="70E1643E" w14:textId="77777777" w:rsidR="00052B4F" w:rsidRDefault="00052B4F" w:rsidP="00052B4F">
      <w:pPr>
        <w:rPr>
          <w:sz w:val="20"/>
          <w:szCs w:val="18"/>
        </w:rPr>
      </w:pPr>
    </w:p>
    <w:p w14:paraId="11CF8939" w14:textId="77777777" w:rsidR="00052B4F" w:rsidRPr="0047000D" w:rsidRDefault="00052B4F" w:rsidP="00052B4F">
      <w:pPr>
        <w:rPr>
          <w:sz w:val="20"/>
          <w:szCs w:val="18"/>
        </w:rPr>
      </w:pPr>
      <w:r w:rsidRPr="0047000D">
        <w:rPr>
          <w:sz w:val="20"/>
          <w:szCs w:val="18"/>
        </w:rPr>
        <w:t>As a highly selecting specialist drama conservatoire, a current risk to the outcomes of our students is the reduced presence of the arts more broadly within the secondary education curriculum. The School’s admissions processes and activities, including work around the country in areas of traditionally low higher education participation, utilise auditions and interviews as a mechanism to identify prospective students with the potential to succeed in their chosen programme of study. Often, the skills and attributes we identify have been developed through engagement in drama and related subjects during this pivotal stage in their educational (and personal) development.</w:t>
      </w:r>
      <w:r>
        <w:rPr>
          <w:sz w:val="20"/>
          <w:szCs w:val="18"/>
        </w:rPr>
        <w:t xml:space="preserve"> The School remains aware that the unknown future of COVID-19 and potential for local and national lockdowns remains a risk, with remote delivery beyond 2021 likely to raise questions for pedagogic approaches predicated on contact-intensive delivery and subjects rooted in physical practice.  </w:t>
      </w:r>
    </w:p>
    <w:p w14:paraId="61D01C5B" w14:textId="77777777" w:rsidR="004E0846" w:rsidRDefault="004E0846"/>
    <w:sectPr w:rsidR="004E0846" w:rsidSect="001A4939">
      <w:headerReference w:type="default" r:id="rId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91DD" w14:textId="77777777" w:rsidR="00D22E0F" w:rsidRDefault="00052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7B90" w14:textId="77777777" w:rsidR="00D22E0F" w:rsidRDefault="00052B4F">
    <w:pPr>
      <w:pStyle w:val="Header"/>
    </w:pPr>
    <w:r>
      <w:rPr>
        <w:noProof/>
        <w:lang w:eastAsia="en-GB"/>
      </w:rPr>
      <w:drawing>
        <wp:inline distT="0" distB="0" distL="0" distR="0" wp14:anchorId="1CE4A90A" wp14:editId="0B35AAD6">
          <wp:extent cx="6642100" cy="86423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CE42" w14:textId="77777777" w:rsidR="00D22E0F" w:rsidRDefault="00052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DA60" w14:textId="77777777" w:rsidR="00594589" w:rsidRDefault="00052B4F">
    <w:pPr>
      <w:pStyle w:val="Header"/>
    </w:pPr>
    <w:r>
      <w:rPr>
        <w:noProof/>
        <w:lang w:eastAsia="en-GB"/>
      </w:rPr>
      <mc:AlternateContent>
        <mc:Choice Requires="wps">
          <w:drawing>
            <wp:anchor distT="0" distB="0" distL="114300" distR="114300" simplePos="0" relativeHeight="251659264" behindDoc="1" locked="0" layoutInCell="0" allowOverlap="1" wp14:anchorId="0A92B4D1" wp14:editId="392F6402">
              <wp:simplePos x="0" y="0"/>
              <wp:positionH relativeFrom="margin">
                <wp:align>center</wp:align>
              </wp:positionH>
              <wp:positionV relativeFrom="margin">
                <wp:align>center</wp:align>
              </wp:positionV>
              <wp:extent cx="7023735" cy="2341245"/>
              <wp:effectExtent l="0" t="2124075" r="0" b="1525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3735" cy="2341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1C6F66" w14:textId="77777777" w:rsidR="00052B4F" w:rsidRDefault="00052B4F" w:rsidP="00052B4F">
                          <w:pPr>
                            <w:pStyle w:val="NormalWeb"/>
                            <w:spacing w:before="0" w:beforeAutospacing="0" w:after="0" w:afterAutospacing="0"/>
                            <w:jc w:val="center"/>
                          </w:pPr>
                          <w:r>
                            <w:rPr>
                              <w:rFonts w:ascii="Open Sans" w:eastAsia="Open Sans" w:hAnsi="Open Sans" w:cs="Open Sans"/>
                              <w:b/>
                              <w:bCs/>
                              <w:color w:val="C0C0C0"/>
                              <w:sz w:val="2"/>
                              <w:szCs w:val="2"/>
                              <w14:textFill>
                                <w14:solidFill>
                                  <w14:srgbClr w14:val="C0C0C0">
                                    <w14:alpha w14:val="14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2B4D1" id="_x0000_t202" coordsize="21600,21600" o:spt="202" path="m,l,21600r21600,l21600,xe">
              <v:stroke joinstyle="miter"/>
              <v:path gradientshapeok="t" o:connecttype="rect"/>
            </v:shapetype>
            <v:shape id="Text Box 1" o:spid="_x0000_s1026" type="#_x0000_t202" style="position:absolute;margin-left:0;margin-top:0;width:553.05pt;height:184.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" o:allowincell="f" filled="f" stroked="f">
              <v:stroke joinstyle="round"/>
              <o:lock v:ext="edit" shapetype="t"/>
              <v:textbox style="mso-fit-shape-to-text:t">
                <w:txbxContent>
                  <w:p w14:paraId="6A1C6F66" w14:textId="77777777" w:rsidR="00052B4F" w:rsidRDefault="00052B4F" w:rsidP="00052B4F">
                    <w:pPr>
                      <w:pStyle w:val="NormalWeb"/>
                      <w:spacing w:before="0" w:beforeAutospacing="0" w:after="0" w:afterAutospacing="0"/>
                      <w:jc w:val="center"/>
                    </w:pPr>
                    <w:r>
                      <w:rPr>
                        <w:rFonts w:ascii="Open Sans" w:eastAsia="Open Sans" w:hAnsi="Open Sans" w:cs="Open Sans"/>
                        <w:b/>
                        <w:bCs/>
                        <w:color w:val="C0C0C0"/>
                        <w:sz w:val="2"/>
                        <w:szCs w:val="2"/>
                        <w14:textFill>
                          <w14:solidFill>
                            <w14:srgbClr w14:val="C0C0C0">
                              <w14:alpha w14:val="14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88F"/>
    <w:multiLevelType w:val="hybridMultilevel"/>
    <w:tmpl w:val="139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B1CE3"/>
    <w:multiLevelType w:val="hybridMultilevel"/>
    <w:tmpl w:val="EB26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4F"/>
    <w:rsid w:val="00052B4F"/>
    <w:rsid w:val="00113E70"/>
    <w:rsid w:val="004E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77F8A"/>
  <w15:chartTrackingRefBased/>
  <w15:docId w15:val="{EDC05824-E6E1-4280-9D06-DAA741A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4F"/>
    <w:rPr>
      <w:rFonts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4F"/>
    <w:pPr>
      <w:ind w:left="720"/>
      <w:contextualSpacing/>
    </w:pPr>
  </w:style>
  <w:style w:type="table" w:styleId="TableGrid">
    <w:name w:val="Table Grid"/>
    <w:basedOn w:val="TableNormal"/>
    <w:uiPriority w:val="39"/>
    <w:rsid w:val="00052B4F"/>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B4F"/>
    <w:pPr>
      <w:tabs>
        <w:tab w:val="center" w:pos="4680"/>
        <w:tab w:val="right" w:pos="9360"/>
      </w:tabs>
    </w:pPr>
  </w:style>
  <w:style w:type="character" w:customStyle="1" w:styleId="HeaderChar">
    <w:name w:val="Header Char"/>
    <w:basedOn w:val="DefaultParagraphFont"/>
    <w:link w:val="Header"/>
    <w:uiPriority w:val="99"/>
    <w:rsid w:val="00052B4F"/>
    <w:rPr>
      <w:rFonts w:cs="Times New Roman (Body CS)"/>
    </w:rPr>
  </w:style>
  <w:style w:type="paragraph" w:styleId="NormalWeb">
    <w:name w:val="Normal (Web)"/>
    <w:basedOn w:val="Normal"/>
    <w:uiPriority w:val="99"/>
    <w:semiHidden/>
    <w:unhideWhenUsed/>
    <w:rsid w:val="00052B4F"/>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4.xml"/><Relationship Id="rId5" Type="http://schemas.openxmlformats.org/officeDocument/2006/relationships/styles" Target="styles.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1CEF6925F39449EC3014308BF90D0" ma:contentTypeVersion="13" ma:contentTypeDescription="Create a new document." ma:contentTypeScope="" ma:versionID="343ccbf67de46f6882b9b278b90aa78b">
  <xsd:schema xmlns:xsd="http://www.w3.org/2001/XMLSchema" xmlns:xs="http://www.w3.org/2001/XMLSchema" xmlns:p="http://schemas.microsoft.com/office/2006/metadata/properties" xmlns:ns3="253624cb-568b-404c-bf4b-260a18b4c2b3" xmlns:ns4="efbfea05-1306-4f73-a438-0a09397dc565" targetNamespace="http://schemas.microsoft.com/office/2006/metadata/properties" ma:root="true" ma:fieldsID="bc65c921195789f2584ac3eacd171900" ns3:_="" ns4:_="">
    <xsd:import namespace="253624cb-568b-404c-bf4b-260a18b4c2b3"/>
    <xsd:import namespace="efbfea05-1306-4f73-a438-0a09397dc5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24cb-568b-404c-bf4b-260a18b4c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fea05-1306-4f73-a438-0a09397dc5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98E6E-30BA-40C4-93E9-55DC7CEB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24cb-568b-404c-bf4b-260a18b4c2b3"/>
    <ds:schemaRef ds:uri="efbfea05-1306-4f73-a438-0a09397d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C556E-0A96-42F8-BBC2-B32F84BA1863}">
  <ds:schemaRefs>
    <ds:schemaRef ds:uri="http://schemas.microsoft.com/sharepoint/v3/contenttype/forms"/>
  </ds:schemaRefs>
</ds:datastoreItem>
</file>

<file path=customXml/itemProps3.xml><?xml version="1.0" encoding="utf-8"?>
<ds:datastoreItem xmlns:ds="http://schemas.openxmlformats.org/officeDocument/2006/customXml" ds:itemID="{D52F84D8-5702-47E2-914A-565D4405A881}">
  <ds:schemaRef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efbfea05-1306-4f73-a438-0a09397dc565"/>
    <ds:schemaRef ds:uri="253624cb-568b-404c-bf4b-260a18b4c2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9409</Characters>
  <Application>Microsoft Office Word</Application>
  <DocSecurity>0</DocSecurity>
  <Lines>78</Lines>
  <Paragraphs>22</Paragraphs>
  <ScaleCrop>false</ScaleCrop>
  <Company>Royal Central School of Speech and Drama</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Perkins</dc:creator>
  <cp:keywords/>
  <dc:description/>
  <cp:lastModifiedBy>James Perkins</cp:lastModifiedBy>
  <cp:revision>1</cp:revision>
  <dcterms:created xsi:type="dcterms:W3CDTF">2021-07-14T12:49:00Z</dcterms:created>
  <dcterms:modified xsi:type="dcterms:W3CDTF">2021-07-14T12:50:00Z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0x010100CCD1CEF6925F39449EC3014308BF90D0</vt:lpwstr>
  </property>
</Properties>
</file>