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A8E1" w14:textId="77777777" w:rsidR="002C3E32" w:rsidRDefault="002C3E32" w:rsidP="007D4A3C">
      <w:pPr>
        <w:jc w:val="center"/>
      </w:pPr>
      <w:r w:rsidRPr="002C3E32">
        <w:rPr>
          <w:rFonts w:eastAsia="Times New Roman" w:cs="Open Sans"/>
          <w:noProof/>
          <w:lang w:eastAsia="en-GB"/>
        </w:rPr>
        <w:drawing>
          <wp:anchor distT="0" distB="0" distL="114300" distR="114300" simplePos="0" relativeHeight="251658240" behindDoc="0" locked="0" layoutInCell="1" allowOverlap="1" wp14:anchorId="56124FA3" wp14:editId="2DE150C8">
            <wp:simplePos x="0" y="0"/>
            <wp:positionH relativeFrom="margin">
              <wp:align>center</wp:align>
            </wp:positionH>
            <wp:positionV relativeFrom="page">
              <wp:posOffset>102572</wp:posOffset>
            </wp:positionV>
            <wp:extent cx="5840730" cy="83312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9472"/>
                    <a:stretch/>
                  </pic:blipFill>
                  <pic:spPr bwMode="auto">
                    <a:xfrm>
                      <a:off x="0" y="0"/>
                      <a:ext cx="5840730" cy="833120"/>
                    </a:xfrm>
                    <a:prstGeom prst="rect">
                      <a:avLst/>
                    </a:prstGeom>
                    <a:noFill/>
                    <a:ln>
                      <a:noFill/>
                    </a:ln>
                    <a:extLst>
                      <a:ext uri="{53640926-AAD7-44D8-BBD7-CCE9431645EC}">
                        <a14:shadowObscured xmlns:a14="http://schemas.microsoft.com/office/drawing/2010/main"/>
                      </a:ext>
                    </a:extLst>
                  </pic:spPr>
                </pic:pic>
              </a:graphicData>
            </a:graphic>
          </wp:anchor>
        </w:drawing>
      </w:r>
    </w:p>
    <w:p w14:paraId="6A4AB9B8" w14:textId="77777777" w:rsidR="00716DA6" w:rsidRPr="002C3E32" w:rsidRDefault="002C3E32" w:rsidP="002C3E32">
      <w:pPr>
        <w:jc w:val="center"/>
        <w:rPr>
          <w:b/>
        </w:rPr>
      </w:pPr>
      <w:r w:rsidRPr="002C3E32">
        <w:rPr>
          <w:b/>
        </w:rPr>
        <w:t>DEGREE OUTCOMES STATEMENT 2020</w:t>
      </w:r>
    </w:p>
    <w:p w14:paraId="4FC3BCF5" w14:textId="77777777" w:rsidR="002C3E32" w:rsidRDefault="002C3E32" w:rsidP="002C3E32"/>
    <w:p w14:paraId="2334D92C" w14:textId="77777777" w:rsidR="002C3E32" w:rsidRPr="00070AC9" w:rsidRDefault="002C3E32" w:rsidP="002C3E32">
      <w:pPr>
        <w:rPr>
          <w:b/>
          <w:sz w:val="21"/>
          <w:szCs w:val="21"/>
        </w:rPr>
      </w:pPr>
      <w:r w:rsidRPr="00070AC9">
        <w:rPr>
          <w:b/>
          <w:sz w:val="21"/>
          <w:szCs w:val="21"/>
        </w:rPr>
        <w:t>1</w:t>
      </w:r>
      <w:r w:rsidRPr="00070AC9">
        <w:rPr>
          <w:b/>
          <w:sz w:val="21"/>
          <w:szCs w:val="21"/>
        </w:rPr>
        <w:tab/>
      </w:r>
      <w:r w:rsidRPr="00070AC9">
        <w:rPr>
          <w:b/>
          <w:sz w:val="21"/>
          <w:szCs w:val="21"/>
        </w:rPr>
        <w:tab/>
        <w:t>Institutional degree classification profile</w:t>
      </w:r>
    </w:p>
    <w:p w14:paraId="3D7C427A" w14:textId="77777777" w:rsidR="002C3E32" w:rsidRPr="00070AC9" w:rsidRDefault="002C3E32" w:rsidP="002C3E32">
      <w:pPr>
        <w:rPr>
          <w:b/>
          <w:sz w:val="21"/>
          <w:szCs w:val="21"/>
        </w:rPr>
      </w:pPr>
    </w:p>
    <w:p w14:paraId="630F25D3" w14:textId="77777777" w:rsidR="003870B5" w:rsidRPr="00070AC9" w:rsidRDefault="008156FB" w:rsidP="002C3E32">
      <w:pPr>
        <w:rPr>
          <w:sz w:val="21"/>
          <w:szCs w:val="21"/>
        </w:rPr>
      </w:pPr>
      <w:r w:rsidRPr="00070AC9">
        <w:rPr>
          <w:sz w:val="21"/>
          <w:szCs w:val="21"/>
        </w:rPr>
        <w:t xml:space="preserve">The Royal Central School of Speech and Drama is a </w:t>
      </w:r>
      <w:r w:rsidR="00624F0A">
        <w:rPr>
          <w:sz w:val="21"/>
          <w:szCs w:val="21"/>
        </w:rPr>
        <w:t>highly selecting</w:t>
      </w:r>
      <w:r w:rsidR="00A745D7">
        <w:rPr>
          <w:sz w:val="21"/>
          <w:szCs w:val="21"/>
        </w:rPr>
        <w:t xml:space="preserve">, </w:t>
      </w:r>
      <w:r w:rsidRPr="00070AC9">
        <w:rPr>
          <w:sz w:val="21"/>
          <w:szCs w:val="21"/>
        </w:rPr>
        <w:t>specialist conservatoire in drama</w:t>
      </w:r>
      <w:r w:rsidR="00FA2E53" w:rsidRPr="00070AC9">
        <w:rPr>
          <w:sz w:val="21"/>
          <w:szCs w:val="21"/>
        </w:rPr>
        <w:t>, awarding University of London degrees</w:t>
      </w:r>
      <w:r w:rsidRPr="00070AC9">
        <w:rPr>
          <w:sz w:val="21"/>
          <w:szCs w:val="21"/>
        </w:rPr>
        <w:t xml:space="preserve">. </w:t>
      </w:r>
      <w:r w:rsidR="003870B5" w:rsidRPr="00070AC9">
        <w:rPr>
          <w:sz w:val="21"/>
          <w:szCs w:val="21"/>
        </w:rPr>
        <w:t>Central</w:t>
      </w:r>
      <w:r w:rsidR="008C0208">
        <w:rPr>
          <w:sz w:val="21"/>
          <w:szCs w:val="21"/>
        </w:rPr>
        <w:t>’s</w:t>
      </w:r>
      <w:r w:rsidR="003870B5" w:rsidRPr="00070AC9">
        <w:rPr>
          <w:sz w:val="21"/>
          <w:szCs w:val="21"/>
        </w:rPr>
        <w:t xml:space="preserve"> undergraduate students have, over the last 5 years, received on average 80-90% good awards, in line with other specialist arts providers according to statistics published by the </w:t>
      </w:r>
      <w:hyperlink r:id="rId9" w:history="1">
        <w:r w:rsidR="003870B5" w:rsidRPr="00070AC9">
          <w:rPr>
            <w:rStyle w:val="Hyperlink"/>
            <w:sz w:val="21"/>
            <w:szCs w:val="21"/>
          </w:rPr>
          <w:t>Office for Students</w:t>
        </w:r>
      </w:hyperlink>
      <w:r w:rsidR="003870B5" w:rsidRPr="00070AC9">
        <w:rPr>
          <w:sz w:val="21"/>
          <w:szCs w:val="21"/>
        </w:rPr>
        <w:t>:</w:t>
      </w:r>
    </w:p>
    <w:p w14:paraId="572AF1E2" w14:textId="77777777" w:rsidR="00163DA4" w:rsidRPr="00070AC9" w:rsidRDefault="00163DA4" w:rsidP="002C3E32">
      <w:pPr>
        <w:rPr>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1889"/>
        <w:gridCol w:w="1888"/>
        <w:gridCol w:w="1888"/>
        <w:gridCol w:w="1888"/>
        <w:gridCol w:w="1888"/>
      </w:tblGrid>
      <w:tr w:rsidR="00AE008B" w:rsidRPr="00070AC9" w14:paraId="1C4446DA" w14:textId="77777777" w:rsidTr="007D4A3C">
        <w:tc>
          <w:tcPr>
            <w:tcW w:w="489" w:type="pct"/>
          </w:tcPr>
          <w:p w14:paraId="258E49F6" w14:textId="77777777" w:rsidR="00AE008B" w:rsidRPr="00070AC9" w:rsidRDefault="00AE008B" w:rsidP="002C3E32">
            <w:pPr>
              <w:rPr>
                <w:b/>
                <w:sz w:val="21"/>
                <w:szCs w:val="21"/>
              </w:rPr>
            </w:pPr>
          </w:p>
        </w:tc>
        <w:tc>
          <w:tcPr>
            <w:tcW w:w="902" w:type="pct"/>
            <w:vAlign w:val="bottom"/>
          </w:tcPr>
          <w:p w14:paraId="11E26304" w14:textId="77777777" w:rsidR="00AE008B" w:rsidRDefault="00AE008B">
            <w:pPr>
              <w:jc w:val="center"/>
              <w:rPr>
                <w:b/>
                <w:sz w:val="21"/>
                <w:szCs w:val="21"/>
              </w:rPr>
            </w:pPr>
            <w:r>
              <w:rPr>
                <w:b/>
                <w:sz w:val="21"/>
                <w:szCs w:val="21"/>
              </w:rPr>
              <w:t>Headcount</w:t>
            </w:r>
          </w:p>
          <w:p w14:paraId="1821102D" w14:textId="0454D784" w:rsidR="00AE008B" w:rsidRPr="00070AC9" w:rsidRDefault="00AE008B">
            <w:pPr>
              <w:jc w:val="center"/>
              <w:rPr>
                <w:b/>
                <w:sz w:val="21"/>
                <w:szCs w:val="21"/>
              </w:rPr>
            </w:pPr>
            <w:r>
              <w:rPr>
                <w:b/>
                <w:sz w:val="21"/>
                <w:szCs w:val="21"/>
              </w:rPr>
              <w:t>(rounded)</w:t>
            </w:r>
          </w:p>
        </w:tc>
        <w:tc>
          <w:tcPr>
            <w:tcW w:w="902" w:type="pct"/>
            <w:vAlign w:val="bottom"/>
          </w:tcPr>
          <w:p w14:paraId="5EB83A8E" w14:textId="1569D51A" w:rsidR="00AE008B" w:rsidRPr="00070AC9" w:rsidRDefault="00AE008B" w:rsidP="000348CE">
            <w:pPr>
              <w:jc w:val="center"/>
              <w:rPr>
                <w:b/>
                <w:sz w:val="21"/>
                <w:szCs w:val="21"/>
              </w:rPr>
            </w:pPr>
            <w:r w:rsidRPr="00070AC9">
              <w:rPr>
                <w:b/>
                <w:sz w:val="21"/>
                <w:szCs w:val="21"/>
              </w:rPr>
              <w:t>First Class</w:t>
            </w:r>
          </w:p>
        </w:tc>
        <w:tc>
          <w:tcPr>
            <w:tcW w:w="902" w:type="pct"/>
            <w:vAlign w:val="bottom"/>
          </w:tcPr>
          <w:p w14:paraId="5CAB51C5" w14:textId="77777777" w:rsidR="00AE008B" w:rsidRPr="00070AC9" w:rsidRDefault="00AE008B" w:rsidP="000348CE">
            <w:pPr>
              <w:jc w:val="center"/>
              <w:rPr>
                <w:b/>
                <w:sz w:val="21"/>
                <w:szCs w:val="21"/>
              </w:rPr>
            </w:pPr>
            <w:r w:rsidRPr="00070AC9">
              <w:rPr>
                <w:b/>
                <w:sz w:val="21"/>
                <w:szCs w:val="21"/>
              </w:rPr>
              <w:t>Upper Second Class</w:t>
            </w:r>
          </w:p>
        </w:tc>
        <w:tc>
          <w:tcPr>
            <w:tcW w:w="902" w:type="pct"/>
            <w:vAlign w:val="bottom"/>
          </w:tcPr>
          <w:p w14:paraId="336CD9E5" w14:textId="77777777" w:rsidR="00AE008B" w:rsidRPr="00070AC9" w:rsidRDefault="00AE008B" w:rsidP="000348CE">
            <w:pPr>
              <w:jc w:val="center"/>
              <w:rPr>
                <w:b/>
                <w:sz w:val="21"/>
                <w:szCs w:val="21"/>
              </w:rPr>
            </w:pPr>
            <w:r w:rsidRPr="00070AC9">
              <w:rPr>
                <w:b/>
                <w:sz w:val="21"/>
                <w:szCs w:val="21"/>
              </w:rPr>
              <w:t>Lower Second Class</w:t>
            </w:r>
          </w:p>
        </w:tc>
        <w:tc>
          <w:tcPr>
            <w:tcW w:w="902" w:type="pct"/>
            <w:vAlign w:val="bottom"/>
          </w:tcPr>
          <w:p w14:paraId="71EFEC2C" w14:textId="77777777" w:rsidR="00AE008B" w:rsidRPr="00070AC9" w:rsidRDefault="00AE008B" w:rsidP="000348CE">
            <w:pPr>
              <w:jc w:val="center"/>
              <w:rPr>
                <w:b/>
                <w:sz w:val="21"/>
                <w:szCs w:val="21"/>
              </w:rPr>
            </w:pPr>
            <w:r w:rsidRPr="00070AC9">
              <w:rPr>
                <w:b/>
                <w:sz w:val="21"/>
                <w:szCs w:val="21"/>
              </w:rPr>
              <w:t>Third Class</w:t>
            </w:r>
          </w:p>
        </w:tc>
      </w:tr>
      <w:tr w:rsidR="00AE008B" w:rsidRPr="00070AC9" w14:paraId="5477178D" w14:textId="77777777" w:rsidTr="007D4A3C">
        <w:tc>
          <w:tcPr>
            <w:tcW w:w="489" w:type="pct"/>
          </w:tcPr>
          <w:p w14:paraId="025EDE35" w14:textId="77777777" w:rsidR="00AE008B" w:rsidRPr="00070AC9" w:rsidRDefault="00AE008B" w:rsidP="000348CE">
            <w:pPr>
              <w:rPr>
                <w:b/>
                <w:sz w:val="21"/>
                <w:szCs w:val="21"/>
              </w:rPr>
            </w:pPr>
            <w:r w:rsidRPr="00070AC9">
              <w:rPr>
                <w:b/>
                <w:sz w:val="21"/>
                <w:szCs w:val="21"/>
              </w:rPr>
              <w:t>2014/15</w:t>
            </w:r>
          </w:p>
        </w:tc>
        <w:tc>
          <w:tcPr>
            <w:tcW w:w="902" w:type="pct"/>
          </w:tcPr>
          <w:p w14:paraId="2300DCB3" w14:textId="510AF431" w:rsidR="00AE008B" w:rsidRPr="00070AC9" w:rsidRDefault="00AE008B" w:rsidP="000348CE">
            <w:pPr>
              <w:jc w:val="center"/>
              <w:rPr>
                <w:sz w:val="21"/>
                <w:szCs w:val="21"/>
              </w:rPr>
            </w:pPr>
            <w:r>
              <w:rPr>
                <w:sz w:val="21"/>
                <w:szCs w:val="21"/>
              </w:rPr>
              <w:t>205</w:t>
            </w:r>
          </w:p>
        </w:tc>
        <w:tc>
          <w:tcPr>
            <w:tcW w:w="902" w:type="pct"/>
          </w:tcPr>
          <w:p w14:paraId="0C7F55E6" w14:textId="47765DFF" w:rsidR="00AE008B" w:rsidRPr="00070AC9" w:rsidRDefault="00AE008B" w:rsidP="000348CE">
            <w:pPr>
              <w:jc w:val="center"/>
              <w:rPr>
                <w:sz w:val="21"/>
                <w:szCs w:val="21"/>
              </w:rPr>
            </w:pPr>
            <w:r w:rsidRPr="00070AC9">
              <w:rPr>
                <w:sz w:val="21"/>
                <w:szCs w:val="21"/>
              </w:rPr>
              <w:t>19%</w:t>
            </w:r>
          </w:p>
        </w:tc>
        <w:tc>
          <w:tcPr>
            <w:tcW w:w="902" w:type="pct"/>
          </w:tcPr>
          <w:p w14:paraId="0C0F0657" w14:textId="77777777" w:rsidR="00AE008B" w:rsidRPr="00070AC9" w:rsidRDefault="00AE008B" w:rsidP="000348CE">
            <w:pPr>
              <w:jc w:val="center"/>
              <w:rPr>
                <w:sz w:val="21"/>
                <w:szCs w:val="21"/>
              </w:rPr>
            </w:pPr>
            <w:r w:rsidRPr="00070AC9">
              <w:rPr>
                <w:sz w:val="21"/>
                <w:szCs w:val="21"/>
              </w:rPr>
              <w:t>69%</w:t>
            </w:r>
          </w:p>
        </w:tc>
        <w:tc>
          <w:tcPr>
            <w:tcW w:w="902" w:type="pct"/>
          </w:tcPr>
          <w:p w14:paraId="37730167" w14:textId="77777777" w:rsidR="00AE008B" w:rsidRPr="00070AC9" w:rsidRDefault="00AE008B" w:rsidP="000348CE">
            <w:pPr>
              <w:jc w:val="center"/>
              <w:rPr>
                <w:sz w:val="21"/>
                <w:szCs w:val="21"/>
              </w:rPr>
            </w:pPr>
            <w:r w:rsidRPr="00070AC9">
              <w:rPr>
                <w:sz w:val="21"/>
                <w:szCs w:val="21"/>
              </w:rPr>
              <w:t>10%</w:t>
            </w:r>
          </w:p>
        </w:tc>
        <w:tc>
          <w:tcPr>
            <w:tcW w:w="902" w:type="pct"/>
          </w:tcPr>
          <w:p w14:paraId="520993C7" w14:textId="77777777" w:rsidR="00AE008B" w:rsidRPr="00070AC9" w:rsidRDefault="00AE008B" w:rsidP="000348CE">
            <w:pPr>
              <w:jc w:val="center"/>
              <w:rPr>
                <w:sz w:val="21"/>
                <w:szCs w:val="21"/>
              </w:rPr>
            </w:pPr>
            <w:r w:rsidRPr="00070AC9">
              <w:rPr>
                <w:sz w:val="21"/>
                <w:szCs w:val="21"/>
              </w:rPr>
              <w:t>3%</w:t>
            </w:r>
          </w:p>
        </w:tc>
      </w:tr>
      <w:tr w:rsidR="00AE008B" w:rsidRPr="00070AC9" w14:paraId="7FB83991" w14:textId="77777777" w:rsidTr="007D4A3C">
        <w:tc>
          <w:tcPr>
            <w:tcW w:w="489" w:type="pct"/>
          </w:tcPr>
          <w:p w14:paraId="77CF6964" w14:textId="77777777" w:rsidR="00AE008B" w:rsidRPr="00070AC9" w:rsidRDefault="00AE008B" w:rsidP="000348CE">
            <w:pPr>
              <w:rPr>
                <w:b/>
                <w:sz w:val="21"/>
                <w:szCs w:val="21"/>
              </w:rPr>
            </w:pPr>
            <w:r w:rsidRPr="00070AC9">
              <w:rPr>
                <w:b/>
                <w:sz w:val="21"/>
                <w:szCs w:val="21"/>
              </w:rPr>
              <w:t>2015/16</w:t>
            </w:r>
          </w:p>
        </w:tc>
        <w:tc>
          <w:tcPr>
            <w:tcW w:w="902" w:type="pct"/>
          </w:tcPr>
          <w:p w14:paraId="1BE828F7" w14:textId="493C7F34" w:rsidR="00AE008B" w:rsidRPr="00070AC9" w:rsidRDefault="00AE008B" w:rsidP="000348CE">
            <w:pPr>
              <w:jc w:val="center"/>
              <w:rPr>
                <w:sz w:val="21"/>
                <w:szCs w:val="21"/>
              </w:rPr>
            </w:pPr>
            <w:r>
              <w:rPr>
                <w:sz w:val="21"/>
                <w:szCs w:val="21"/>
              </w:rPr>
              <w:t>200</w:t>
            </w:r>
          </w:p>
        </w:tc>
        <w:tc>
          <w:tcPr>
            <w:tcW w:w="902" w:type="pct"/>
          </w:tcPr>
          <w:p w14:paraId="6B0B141E" w14:textId="731F896E" w:rsidR="00AE008B" w:rsidRPr="00070AC9" w:rsidRDefault="00AE008B" w:rsidP="000348CE">
            <w:pPr>
              <w:jc w:val="center"/>
              <w:rPr>
                <w:sz w:val="21"/>
                <w:szCs w:val="21"/>
              </w:rPr>
            </w:pPr>
            <w:r w:rsidRPr="00070AC9">
              <w:rPr>
                <w:sz w:val="21"/>
                <w:szCs w:val="21"/>
              </w:rPr>
              <w:t>26%</w:t>
            </w:r>
          </w:p>
        </w:tc>
        <w:tc>
          <w:tcPr>
            <w:tcW w:w="902" w:type="pct"/>
          </w:tcPr>
          <w:p w14:paraId="230FA73B" w14:textId="77777777" w:rsidR="00AE008B" w:rsidRPr="00070AC9" w:rsidRDefault="00AE008B" w:rsidP="000348CE">
            <w:pPr>
              <w:jc w:val="center"/>
              <w:rPr>
                <w:sz w:val="21"/>
                <w:szCs w:val="21"/>
              </w:rPr>
            </w:pPr>
            <w:r w:rsidRPr="00070AC9">
              <w:rPr>
                <w:sz w:val="21"/>
                <w:szCs w:val="21"/>
              </w:rPr>
              <w:t>63%</w:t>
            </w:r>
          </w:p>
        </w:tc>
        <w:tc>
          <w:tcPr>
            <w:tcW w:w="902" w:type="pct"/>
          </w:tcPr>
          <w:p w14:paraId="2A8F3E4E" w14:textId="77777777" w:rsidR="00AE008B" w:rsidRPr="00070AC9" w:rsidRDefault="00AE008B" w:rsidP="000348CE">
            <w:pPr>
              <w:jc w:val="center"/>
              <w:rPr>
                <w:sz w:val="21"/>
                <w:szCs w:val="21"/>
              </w:rPr>
            </w:pPr>
            <w:r w:rsidRPr="00070AC9">
              <w:rPr>
                <w:sz w:val="21"/>
                <w:szCs w:val="21"/>
              </w:rPr>
              <w:t>11%</w:t>
            </w:r>
          </w:p>
        </w:tc>
        <w:tc>
          <w:tcPr>
            <w:tcW w:w="902" w:type="pct"/>
          </w:tcPr>
          <w:p w14:paraId="5455EED5" w14:textId="77777777" w:rsidR="00AE008B" w:rsidRPr="00070AC9" w:rsidRDefault="00AE008B" w:rsidP="000348CE">
            <w:pPr>
              <w:jc w:val="center"/>
              <w:rPr>
                <w:sz w:val="21"/>
                <w:szCs w:val="21"/>
              </w:rPr>
            </w:pPr>
            <w:r w:rsidRPr="00070AC9">
              <w:rPr>
                <w:sz w:val="21"/>
                <w:szCs w:val="21"/>
              </w:rPr>
              <w:t>1%</w:t>
            </w:r>
          </w:p>
        </w:tc>
      </w:tr>
      <w:tr w:rsidR="00AE008B" w:rsidRPr="00070AC9" w14:paraId="01CAA11A" w14:textId="77777777" w:rsidTr="007D4A3C">
        <w:tc>
          <w:tcPr>
            <w:tcW w:w="489" w:type="pct"/>
          </w:tcPr>
          <w:p w14:paraId="598567DC" w14:textId="77777777" w:rsidR="00AE008B" w:rsidRPr="00070AC9" w:rsidRDefault="00AE008B" w:rsidP="000348CE">
            <w:pPr>
              <w:rPr>
                <w:b/>
                <w:sz w:val="21"/>
                <w:szCs w:val="21"/>
              </w:rPr>
            </w:pPr>
            <w:r w:rsidRPr="00070AC9">
              <w:rPr>
                <w:b/>
                <w:sz w:val="21"/>
                <w:szCs w:val="21"/>
              </w:rPr>
              <w:t>2016/17</w:t>
            </w:r>
          </w:p>
        </w:tc>
        <w:tc>
          <w:tcPr>
            <w:tcW w:w="902" w:type="pct"/>
          </w:tcPr>
          <w:p w14:paraId="04CA1E2C" w14:textId="7475F378" w:rsidR="00AE008B" w:rsidRPr="00070AC9" w:rsidRDefault="00AE008B" w:rsidP="000348CE">
            <w:pPr>
              <w:jc w:val="center"/>
              <w:rPr>
                <w:sz w:val="21"/>
                <w:szCs w:val="21"/>
              </w:rPr>
            </w:pPr>
            <w:r>
              <w:rPr>
                <w:sz w:val="21"/>
                <w:szCs w:val="21"/>
              </w:rPr>
              <w:t>190</w:t>
            </w:r>
          </w:p>
        </w:tc>
        <w:tc>
          <w:tcPr>
            <w:tcW w:w="902" w:type="pct"/>
          </w:tcPr>
          <w:p w14:paraId="6DEE4A3F" w14:textId="347843B4" w:rsidR="00AE008B" w:rsidRPr="00070AC9" w:rsidRDefault="00AE008B" w:rsidP="000348CE">
            <w:pPr>
              <w:jc w:val="center"/>
              <w:rPr>
                <w:sz w:val="21"/>
                <w:szCs w:val="21"/>
              </w:rPr>
            </w:pPr>
            <w:r w:rsidRPr="00070AC9">
              <w:rPr>
                <w:sz w:val="21"/>
                <w:szCs w:val="21"/>
              </w:rPr>
              <w:t>31%</w:t>
            </w:r>
          </w:p>
        </w:tc>
        <w:tc>
          <w:tcPr>
            <w:tcW w:w="902" w:type="pct"/>
          </w:tcPr>
          <w:p w14:paraId="69A33F3B" w14:textId="77777777" w:rsidR="00AE008B" w:rsidRPr="00070AC9" w:rsidRDefault="00AE008B" w:rsidP="000348CE">
            <w:pPr>
              <w:jc w:val="center"/>
              <w:rPr>
                <w:sz w:val="21"/>
                <w:szCs w:val="21"/>
              </w:rPr>
            </w:pPr>
            <w:r w:rsidRPr="00070AC9">
              <w:rPr>
                <w:sz w:val="21"/>
                <w:szCs w:val="21"/>
              </w:rPr>
              <w:t>59%</w:t>
            </w:r>
          </w:p>
        </w:tc>
        <w:tc>
          <w:tcPr>
            <w:tcW w:w="902" w:type="pct"/>
          </w:tcPr>
          <w:p w14:paraId="36BDAD73" w14:textId="77777777" w:rsidR="00AE008B" w:rsidRPr="00070AC9" w:rsidRDefault="00AE008B" w:rsidP="000348CE">
            <w:pPr>
              <w:jc w:val="center"/>
              <w:rPr>
                <w:sz w:val="21"/>
                <w:szCs w:val="21"/>
              </w:rPr>
            </w:pPr>
            <w:r w:rsidRPr="00070AC9">
              <w:rPr>
                <w:sz w:val="21"/>
                <w:szCs w:val="21"/>
              </w:rPr>
              <w:t>10%</w:t>
            </w:r>
          </w:p>
        </w:tc>
        <w:tc>
          <w:tcPr>
            <w:tcW w:w="902" w:type="pct"/>
          </w:tcPr>
          <w:p w14:paraId="25B3E7A6" w14:textId="77777777" w:rsidR="00AE008B" w:rsidRPr="00070AC9" w:rsidRDefault="00AE008B" w:rsidP="000348CE">
            <w:pPr>
              <w:jc w:val="center"/>
              <w:rPr>
                <w:sz w:val="21"/>
                <w:szCs w:val="21"/>
              </w:rPr>
            </w:pPr>
            <w:r w:rsidRPr="00070AC9">
              <w:rPr>
                <w:sz w:val="21"/>
                <w:szCs w:val="21"/>
              </w:rPr>
              <w:t>1%</w:t>
            </w:r>
          </w:p>
        </w:tc>
      </w:tr>
      <w:tr w:rsidR="00AE008B" w:rsidRPr="00070AC9" w14:paraId="4527DED8" w14:textId="77777777" w:rsidTr="007D4A3C">
        <w:tc>
          <w:tcPr>
            <w:tcW w:w="489" w:type="pct"/>
          </w:tcPr>
          <w:p w14:paraId="55931519" w14:textId="77777777" w:rsidR="00AE008B" w:rsidRPr="00070AC9" w:rsidRDefault="00AE008B" w:rsidP="000348CE">
            <w:pPr>
              <w:rPr>
                <w:b/>
                <w:sz w:val="21"/>
                <w:szCs w:val="21"/>
              </w:rPr>
            </w:pPr>
            <w:r w:rsidRPr="00070AC9">
              <w:rPr>
                <w:b/>
                <w:sz w:val="21"/>
                <w:szCs w:val="21"/>
              </w:rPr>
              <w:t>2017/18</w:t>
            </w:r>
          </w:p>
        </w:tc>
        <w:tc>
          <w:tcPr>
            <w:tcW w:w="902" w:type="pct"/>
          </w:tcPr>
          <w:p w14:paraId="2879ABCE" w14:textId="021A3E8C" w:rsidR="00AE008B" w:rsidRPr="00070AC9" w:rsidRDefault="00AE008B" w:rsidP="000348CE">
            <w:pPr>
              <w:jc w:val="center"/>
              <w:rPr>
                <w:sz w:val="21"/>
                <w:szCs w:val="21"/>
              </w:rPr>
            </w:pPr>
            <w:r>
              <w:rPr>
                <w:sz w:val="21"/>
                <w:szCs w:val="21"/>
              </w:rPr>
              <w:t>225</w:t>
            </w:r>
          </w:p>
        </w:tc>
        <w:tc>
          <w:tcPr>
            <w:tcW w:w="902" w:type="pct"/>
          </w:tcPr>
          <w:p w14:paraId="069D31D6" w14:textId="58F41FED" w:rsidR="00AE008B" w:rsidRPr="00070AC9" w:rsidRDefault="00AE008B" w:rsidP="000348CE">
            <w:pPr>
              <w:jc w:val="center"/>
              <w:rPr>
                <w:sz w:val="21"/>
                <w:szCs w:val="21"/>
              </w:rPr>
            </w:pPr>
            <w:r w:rsidRPr="00070AC9">
              <w:rPr>
                <w:sz w:val="21"/>
                <w:szCs w:val="21"/>
              </w:rPr>
              <w:t>27%</w:t>
            </w:r>
          </w:p>
        </w:tc>
        <w:tc>
          <w:tcPr>
            <w:tcW w:w="902" w:type="pct"/>
          </w:tcPr>
          <w:p w14:paraId="578D8960" w14:textId="77777777" w:rsidR="00AE008B" w:rsidRPr="00070AC9" w:rsidRDefault="00AE008B" w:rsidP="000348CE">
            <w:pPr>
              <w:jc w:val="center"/>
              <w:rPr>
                <w:sz w:val="21"/>
                <w:szCs w:val="21"/>
              </w:rPr>
            </w:pPr>
            <w:r w:rsidRPr="00070AC9">
              <w:rPr>
                <w:sz w:val="21"/>
                <w:szCs w:val="21"/>
              </w:rPr>
              <w:t>61%</w:t>
            </w:r>
          </w:p>
        </w:tc>
        <w:tc>
          <w:tcPr>
            <w:tcW w:w="902" w:type="pct"/>
          </w:tcPr>
          <w:p w14:paraId="6BDC0F46" w14:textId="77777777" w:rsidR="00AE008B" w:rsidRPr="00070AC9" w:rsidRDefault="00AE008B" w:rsidP="000348CE">
            <w:pPr>
              <w:jc w:val="center"/>
              <w:rPr>
                <w:sz w:val="21"/>
                <w:szCs w:val="21"/>
              </w:rPr>
            </w:pPr>
            <w:r w:rsidRPr="00070AC9">
              <w:rPr>
                <w:sz w:val="21"/>
                <w:szCs w:val="21"/>
              </w:rPr>
              <w:t>12%</w:t>
            </w:r>
          </w:p>
        </w:tc>
        <w:tc>
          <w:tcPr>
            <w:tcW w:w="902" w:type="pct"/>
          </w:tcPr>
          <w:p w14:paraId="7442E3BE" w14:textId="77777777" w:rsidR="00AE008B" w:rsidRPr="00070AC9" w:rsidRDefault="00AE008B" w:rsidP="000348CE">
            <w:pPr>
              <w:jc w:val="center"/>
              <w:rPr>
                <w:sz w:val="21"/>
                <w:szCs w:val="21"/>
              </w:rPr>
            </w:pPr>
            <w:r w:rsidRPr="00070AC9">
              <w:rPr>
                <w:sz w:val="21"/>
                <w:szCs w:val="21"/>
              </w:rPr>
              <w:t>1%</w:t>
            </w:r>
          </w:p>
        </w:tc>
      </w:tr>
      <w:tr w:rsidR="00AE008B" w:rsidRPr="00070AC9" w14:paraId="23A2BCFC" w14:textId="77777777" w:rsidTr="007D4A3C">
        <w:tc>
          <w:tcPr>
            <w:tcW w:w="489" w:type="pct"/>
          </w:tcPr>
          <w:p w14:paraId="259CD0D3" w14:textId="77777777" w:rsidR="00AE008B" w:rsidRPr="00070AC9" w:rsidRDefault="00AE008B" w:rsidP="000348CE">
            <w:pPr>
              <w:rPr>
                <w:b/>
                <w:sz w:val="21"/>
                <w:szCs w:val="21"/>
              </w:rPr>
            </w:pPr>
            <w:r w:rsidRPr="00070AC9">
              <w:rPr>
                <w:b/>
                <w:sz w:val="21"/>
                <w:szCs w:val="21"/>
              </w:rPr>
              <w:t>2018/19</w:t>
            </w:r>
          </w:p>
        </w:tc>
        <w:tc>
          <w:tcPr>
            <w:tcW w:w="902" w:type="pct"/>
          </w:tcPr>
          <w:p w14:paraId="22171376" w14:textId="63D4FE04" w:rsidR="00AE008B" w:rsidRPr="00070AC9" w:rsidRDefault="00AE008B" w:rsidP="000348CE">
            <w:pPr>
              <w:jc w:val="center"/>
              <w:rPr>
                <w:sz w:val="21"/>
                <w:szCs w:val="21"/>
              </w:rPr>
            </w:pPr>
            <w:r>
              <w:rPr>
                <w:sz w:val="21"/>
                <w:szCs w:val="21"/>
              </w:rPr>
              <w:t>210</w:t>
            </w:r>
          </w:p>
        </w:tc>
        <w:tc>
          <w:tcPr>
            <w:tcW w:w="902" w:type="pct"/>
          </w:tcPr>
          <w:p w14:paraId="0C03E5A7" w14:textId="5EC0B61B" w:rsidR="00AE008B" w:rsidRPr="00070AC9" w:rsidRDefault="00AE008B" w:rsidP="000348CE">
            <w:pPr>
              <w:jc w:val="center"/>
              <w:rPr>
                <w:sz w:val="21"/>
                <w:szCs w:val="21"/>
              </w:rPr>
            </w:pPr>
            <w:r w:rsidRPr="00070AC9">
              <w:rPr>
                <w:sz w:val="21"/>
                <w:szCs w:val="21"/>
              </w:rPr>
              <w:t>33%</w:t>
            </w:r>
          </w:p>
        </w:tc>
        <w:tc>
          <w:tcPr>
            <w:tcW w:w="902" w:type="pct"/>
          </w:tcPr>
          <w:p w14:paraId="0C8DF796" w14:textId="77777777" w:rsidR="00AE008B" w:rsidRPr="00070AC9" w:rsidRDefault="00AE008B" w:rsidP="000348CE">
            <w:pPr>
              <w:jc w:val="center"/>
              <w:rPr>
                <w:sz w:val="21"/>
                <w:szCs w:val="21"/>
              </w:rPr>
            </w:pPr>
            <w:r w:rsidRPr="00070AC9">
              <w:rPr>
                <w:sz w:val="21"/>
                <w:szCs w:val="21"/>
              </w:rPr>
              <w:t>57%</w:t>
            </w:r>
          </w:p>
        </w:tc>
        <w:tc>
          <w:tcPr>
            <w:tcW w:w="902" w:type="pct"/>
          </w:tcPr>
          <w:p w14:paraId="3D5FE6A5" w14:textId="77777777" w:rsidR="00AE008B" w:rsidRPr="00070AC9" w:rsidRDefault="00AE008B" w:rsidP="000348CE">
            <w:pPr>
              <w:jc w:val="center"/>
              <w:rPr>
                <w:sz w:val="21"/>
                <w:szCs w:val="21"/>
              </w:rPr>
            </w:pPr>
            <w:r w:rsidRPr="00070AC9">
              <w:rPr>
                <w:sz w:val="21"/>
                <w:szCs w:val="21"/>
              </w:rPr>
              <w:t>10%</w:t>
            </w:r>
          </w:p>
        </w:tc>
        <w:tc>
          <w:tcPr>
            <w:tcW w:w="902" w:type="pct"/>
          </w:tcPr>
          <w:p w14:paraId="232027C7" w14:textId="77777777" w:rsidR="00AE008B" w:rsidRPr="00070AC9" w:rsidRDefault="00AE008B" w:rsidP="000348CE">
            <w:pPr>
              <w:jc w:val="center"/>
              <w:rPr>
                <w:sz w:val="21"/>
                <w:szCs w:val="21"/>
              </w:rPr>
            </w:pPr>
            <w:r w:rsidRPr="00070AC9">
              <w:rPr>
                <w:sz w:val="21"/>
                <w:szCs w:val="21"/>
              </w:rPr>
              <w:t>1%</w:t>
            </w:r>
          </w:p>
        </w:tc>
      </w:tr>
    </w:tbl>
    <w:p w14:paraId="3538D229" w14:textId="77777777" w:rsidR="000348CE" w:rsidRPr="00070AC9" w:rsidRDefault="000348CE" w:rsidP="002C3E32">
      <w:pPr>
        <w:rPr>
          <w:b/>
          <w:sz w:val="21"/>
          <w:szCs w:val="21"/>
        </w:rPr>
      </w:pPr>
    </w:p>
    <w:p w14:paraId="5FE334BA" w14:textId="01EC221B" w:rsidR="00D33272" w:rsidRDefault="00417F9A" w:rsidP="002C3E32">
      <w:pPr>
        <w:rPr>
          <w:sz w:val="21"/>
          <w:szCs w:val="21"/>
        </w:rPr>
      </w:pPr>
      <w:r w:rsidRPr="00070AC9">
        <w:rPr>
          <w:sz w:val="21"/>
          <w:szCs w:val="21"/>
        </w:rPr>
        <w:t xml:space="preserve">Having considered our </w:t>
      </w:r>
      <w:r w:rsidR="00D33272" w:rsidRPr="00070AC9">
        <w:rPr>
          <w:sz w:val="21"/>
          <w:szCs w:val="21"/>
        </w:rPr>
        <w:t xml:space="preserve">data in terms of </w:t>
      </w:r>
      <w:proofErr w:type="gramStart"/>
      <w:r w:rsidR="00D33272" w:rsidRPr="00070AC9">
        <w:rPr>
          <w:sz w:val="21"/>
          <w:szCs w:val="21"/>
        </w:rPr>
        <w:t>particular student</w:t>
      </w:r>
      <w:proofErr w:type="gramEnd"/>
      <w:r w:rsidR="00D33272" w:rsidRPr="00070AC9">
        <w:rPr>
          <w:sz w:val="21"/>
          <w:szCs w:val="21"/>
        </w:rPr>
        <w:t xml:space="preserve"> </w:t>
      </w:r>
      <w:r w:rsidR="008156FB" w:rsidRPr="00070AC9">
        <w:rPr>
          <w:sz w:val="21"/>
          <w:szCs w:val="21"/>
        </w:rPr>
        <w:t>characteristics</w:t>
      </w:r>
      <w:r w:rsidR="00D33272" w:rsidRPr="00070AC9">
        <w:rPr>
          <w:sz w:val="21"/>
          <w:szCs w:val="21"/>
        </w:rPr>
        <w:t>, we have noticed the following trends</w:t>
      </w:r>
      <w:r w:rsidR="00A9444C" w:rsidRPr="00070AC9">
        <w:rPr>
          <w:sz w:val="21"/>
          <w:szCs w:val="21"/>
        </w:rPr>
        <w:t xml:space="preserve"> over the last five years</w:t>
      </w:r>
      <w:r w:rsidR="00D33272" w:rsidRPr="00070AC9">
        <w:rPr>
          <w:sz w:val="21"/>
          <w:szCs w:val="21"/>
        </w:rPr>
        <w:t>:</w:t>
      </w:r>
    </w:p>
    <w:p w14:paraId="5AE506ED" w14:textId="77777777" w:rsidR="00A53A52" w:rsidRDefault="00A53A52" w:rsidP="002C3E32">
      <w:pPr>
        <w:rPr>
          <w:sz w:val="21"/>
          <w:szCs w:val="21"/>
        </w:rPr>
      </w:pPr>
    </w:p>
    <w:p w14:paraId="58CF03AD" w14:textId="7272D82D" w:rsidR="00D33272" w:rsidRPr="00070AC9" w:rsidRDefault="00390014" w:rsidP="00D33272">
      <w:pPr>
        <w:pStyle w:val="ListParagraph"/>
        <w:numPr>
          <w:ilvl w:val="0"/>
          <w:numId w:val="1"/>
        </w:numPr>
        <w:rPr>
          <w:sz w:val="21"/>
          <w:szCs w:val="21"/>
        </w:rPr>
      </w:pPr>
      <w:r>
        <w:rPr>
          <w:sz w:val="21"/>
          <w:szCs w:val="21"/>
        </w:rPr>
        <w:t>There has been an increase in the award of good honours degrees for students with declared disabilities</w:t>
      </w:r>
      <w:r w:rsidR="00BC50EE">
        <w:rPr>
          <w:sz w:val="21"/>
          <w:szCs w:val="21"/>
        </w:rPr>
        <w:t xml:space="preserve"> (32% of our total students) from 79% to </w:t>
      </w:r>
      <w:proofErr w:type="gramStart"/>
      <w:r w:rsidR="00BC50EE">
        <w:rPr>
          <w:sz w:val="21"/>
          <w:szCs w:val="21"/>
        </w:rPr>
        <w:t>85%</w:t>
      </w:r>
      <w:r>
        <w:rPr>
          <w:sz w:val="21"/>
          <w:szCs w:val="21"/>
        </w:rPr>
        <w:t>;</w:t>
      </w:r>
      <w:proofErr w:type="gramEnd"/>
    </w:p>
    <w:p w14:paraId="18CCE123" w14:textId="011AE6B1" w:rsidR="00A9444C" w:rsidRPr="00070AC9" w:rsidRDefault="00A9444C" w:rsidP="00D33272">
      <w:pPr>
        <w:pStyle w:val="ListParagraph"/>
        <w:numPr>
          <w:ilvl w:val="0"/>
          <w:numId w:val="1"/>
        </w:numPr>
        <w:rPr>
          <w:sz w:val="21"/>
          <w:szCs w:val="21"/>
        </w:rPr>
      </w:pPr>
      <w:r w:rsidRPr="00070AC9">
        <w:rPr>
          <w:sz w:val="21"/>
          <w:szCs w:val="21"/>
        </w:rPr>
        <w:t>Male</w:t>
      </w:r>
      <w:r w:rsidR="00A53A52">
        <w:rPr>
          <w:sz w:val="21"/>
          <w:szCs w:val="21"/>
        </w:rPr>
        <w:t xml:space="preserve"> </w:t>
      </w:r>
      <w:r w:rsidRPr="00070AC9">
        <w:rPr>
          <w:sz w:val="21"/>
          <w:szCs w:val="21"/>
        </w:rPr>
        <w:t>and female attainment</w:t>
      </w:r>
      <w:r w:rsidR="00390014">
        <w:rPr>
          <w:sz w:val="21"/>
          <w:szCs w:val="21"/>
        </w:rPr>
        <w:t xml:space="preserve"> levels</w:t>
      </w:r>
      <w:r w:rsidR="00BC50EE">
        <w:rPr>
          <w:sz w:val="21"/>
          <w:szCs w:val="21"/>
        </w:rPr>
        <w:t xml:space="preserve"> (33% and 67% of students respectively)</w:t>
      </w:r>
      <w:r w:rsidRPr="00070AC9">
        <w:rPr>
          <w:sz w:val="21"/>
          <w:szCs w:val="21"/>
        </w:rPr>
        <w:t xml:space="preserve">, whilst fluctuating, </w:t>
      </w:r>
      <w:r w:rsidR="00390014">
        <w:rPr>
          <w:sz w:val="21"/>
          <w:szCs w:val="21"/>
        </w:rPr>
        <w:t xml:space="preserve">are </w:t>
      </w:r>
      <w:r w:rsidRPr="00070AC9">
        <w:rPr>
          <w:sz w:val="21"/>
          <w:szCs w:val="21"/>
        </w:rPr>
        <w:t>broadly similar</w:t>
      </w:r>
      <w:r w:rsidR="00BC50EE">
        <w:rPr>
          <w:sz w:val="21"/>
          <w:szCs w:val="21"/>
        </w:rPr>
        <w:t xml:space="preserve"> (both 84% in 2018/19).</w:t>
      </w:r>
      <w:r w:rsidRPr="00070AC9">
        <w:rPr>
          <w:sz w:val="21"/>
          <w:szCs w:val="21"/>
        </w:rPr>
        <w:t xml:space="preserve"> </w:t>
      </w:r>
      <w:r w:rsidR="00BC50EE">
        <w:rPr>
          <w:sz w:val="21"/>
          <w:szCs w:val="21"/>
        </w:rPr>
        <w:t>H</w:t>
      </w:r>
      <w:r w:rsidR="00BC50EE" w:rsidRPr="00070AC9">
        <w:rPr>
          <w:sz w:val="21"/>
          <w:szCs w:val="21"/>
        </w:rPr>
        <w:t>owever</w:t>
      </w:r>
      <w:r w:rsidR="00390014">
        <w:rPr>
          <w:sz w:val="21"/>
          <w:szCs w:val="21"/>
        </w:rPr>
        <w:t>,</w:t>
      </w:r>
      <w:r w:rsidRPr="00070AC9">
        <w:rPr>
          <w:sz w:val="21"/>
          <w:szCs w:val="21"/>
        </w:rPr>
        <w:t xml:space="preserve"> female student outcomes are more consistently higher with a higher </w:t>
      </w:r>
      <w:proofErr w:type="gramStart"/>
      <w:r w:rsidRPr="00070AC9">
        <w:rPr>
          <w:sz w:val="21"/>
          <w:szCs w:val="21"/>
        </w:rPr>
        <w:t>five year</w:t>
      </w:r>
      <w:proofErr w:type="gramEnd"/>
      <w:r w:rsidRPr="00070AC9">
        <w:rPr>
          <w:sz w:val="21"/>
          <w:szCs w:val="21"/>
        </w:rPr>
        <w:t xml:space="preserve"> average</w:t>
      </w:r>
      <w:r w:rsidR="00854378" w:rsidRPr="00070AC9">
        <w:rPr>
          <w:sz w:val="21"/>
          <w:szCs w:val="21"/>
        </w:rPr>
        <w:t>;</w:t>
      </w:r>
    </w:p>
    <w:p w14:paraId="06E5B4AA" w14:textId="246399FE" w:rsidR="00A9444C" w:rsidRPr="00070AC9" w:rsidRDefault="00A9444C" w:rsidP="00D33272">
      <w:pPr>
        <w:pStyle w:val="ListParagraph"/>
        <w:numPr>
          <w:ilvl w:val="0"/>
          <w:numId w:val="1"/>
        </w:numPr>
        <w:rPr>
          <w:sz w:val="21"/>
          <w:szCs w:val="21"/>
        </w:rPr>
      </w:pPr>
      <w:r w:rsidRPr="00070AC9">
        <w:rPr>
          <w:sz w:val="21"/>
          <w:szCs w:val="21"/>
        </w:rPr>
        <w:t xml:space="preserve">Home and EU students </w:t>
      </w:r>
      <w:r w:rsidR="00BC50EE">
        <w:rPr>
          <w:sz w:val="21"/>
          <w:szCs w:val="21"/>
        </w:rPr>
        <w:t xml:space="preserve">(88% of our students) achieved higher overall outcomes </w:t>
      </w:r>
      <w:r w:rsidR="00854378" w:rsidRPr="00070AC9">
        <w:rPr>
          <w:sz w:val="21"/>
          <w:szCs w:val="21"/>
        </w:rPr>
        <w:t xml:space="preserve">than </w:t>
      </w:r>
      <w:r w:rsidR="00BC50EE">
        <w:rPr>
          <w:sz w:val="21"/>
          <w:szCs w:val="21"/>
        </w:rPr>
        <w:t xml:space="preserve">our </w:t>
      </w:r>
      <w:r w:rsidR="00854378" w:rsidRPr="00070AC9">
        <w:rPr>
          <w:sz w:val="21"/>
          <w:szCs w:val="21"/>
        </w:rPr>
        <w:t>international students</w:t>
      </w:r>
      <w:r w:rsidR="00BC50EE">
        <w:rPr>
          <w:sz w:val="21"/>
          <w:szCs w:val="21"/>
        </w:rPr>
        <w:t xml:space="preserve"> (10% of our total students</w:t>
      </w:r>
      <w:proofErr w:type="gramStart"/>
      <w:r w:rsidR="00BC50EE">
        <w:rPr>
          <w:sz w:val="21"/>
          <w:szCs w:val="21"/>
        </w:rPr>
        <w:t>)</w:t>
      </w:r>
      <w:r w:rsidR="00854378" w:rsidRPr="00070AC9">
        <w:rPr>
          <w:sz w:val="21"/>
          <w:szCs w:val="21"/>
        </w:rPr>
        <w:t>;</w:t>
      </w:r>
      <w:proofErr w:type="gramEnd"/>
    </w:p>
    <w:p w14:paraId="07980B40" w14:textId="1C175EBF" w:rsidR="0039702B" w:rsidRDefault="00EB69B0" w:rsidP="00D33272">
      <w:pPr>
        <w:pStyle w:val="ListParagraph"/>
        <w:numPr>
          <w:ilvl w:val="0"/>
          <w:numId w:val="1"/>
        </w:numPr>
        <w:rPr>
          <w:sz w:val="21"/>
          <w:szCs w:val="21"/>
        </w:rPr>
      </w:pPr>
      <w:r>
        <w:rPr>
          <w:sz w:val="21"/>
          <w:szCs w:val="21"/>
        </w:rPr>
        <w:t>While BME students earlier in the period under consideration achieved a higher average number of good honours awards, this has changed in recent years</w:t>
      </w:r>
      <w:r w:rsidR="00BC50EE">
        <w:rPr>
          <w:sz w:val="21"/>
          <w:szCs w:val="21"/>
        </w:rPr>
        <w:t xml:space="preserve"> (from 88% to 75% over the last three academic sessions)</w:t>
      </w:r>
      <w:r>
        <w:rPr>
          <w:sz w:val="21"/>
          <w:szCs w:val="21"/>
        </w:rPr>
        <w:t>. Throughout this period, white students have continued to achieve a</w:t>
      </w:r>
      <w:r w:rsidR="00A53A52">
        <w:rPr>
          <w:sz w:val="21"/>
          <w:szCs w:val="21"/>
        </w:rPr>
        <w:t xml:space="preserve">n equal or </w:t>
      </w:r>
      <w:r>
        <w:rPr>
          <w:sz w:val="21"/>
          <w:szCs w:val="21"/>
        </w:rPr>
        <w:t xml:space="preserve">higher proportion of </w:t>
      </w:r>
      <w:proofErr w:type="gramStart"/>
      <w:r>
        <w:rPr>
          <w:sz w:val="21"/>
          <w:szCs w:val="21"/>
        </w:rPr>
        <w:t>first class</w:t>
      </w:r>
      <w:proofErr w:type="gramEnd"/>
      <w:r>
        <w:rPr>
          <w:sz w:val="21"/>
          <w:szCs w:val="21"/>
        </w:rPr>
        <w:t xml:space="preserve"> awards than BME students</w:t>
      </w:r>
      <w:r w:rsidR="007848A8">
        <w:rPr>
          <w:sz w:val="21"/>
          <w:szCs w:val="21"/>
        </w:rPr>
        <w:t xml:space="preserve"> on average, but are also a </w:t>
      </w:r>
      <w:r w:rsidR="00A53A52">
        <w:rPr>
          <w:sz w:val="21"/>
          <w:szCs w:val="21"/>
        </w:rPr>
        <w:t xml:space="preserve">larger </w:t>
      </w:r>
      <w:r w:rsidR="007848A8">
        <w:rPr>
          <w:sz w:val="21"/>
          <w:szCs w:val="21"/>
        </w:rPr>
        <w:t>proportion of our student body (ranging between 74-86% of students over the last 5 years)</w:t>
      </w:r>
      <w:r>
        <w:rPr>
          <w:sz w:val="21"/>
          <w:szCs w:val="21"/>
        </w:rPr>
        <w:t xml:space="preserve">; </w:t>
      </w:r>
    </w:p>
    <w:p w14:paraId="2EF09CE5" w14:textId="479A8513" w:rsidR="0039702B" w:rsidRDefault="0039702B" w:rsidP="00D33272">
      <w:pPr>
        <w:pStyle w:val="ListParagraph"/>
        <w:numPr>
          <w:ilvl w:val="0"/>
          <w:numId w:val="1"/>
        </w:numPr>
        <w:rPr>
          <w:sz w:val="21"/>
          <w:szCs w:val="21"/>
        </w:rPr>
      </w:pPr>
      <w:r>
        <w:rPr>
          <w:sz w:val="21"/>
          <w:szCs w:val="21"/>
        </w:rPr>
        <w:t>Over the past 5 years, the average number of good honours awards has increased</w:t>
      </w:r>
      <w:r w:rsidR="00EB69B0">
        <w:rPr>
          <w:sz w:val="21"/>
          <w:szCs w:val="21"/>
        </w:rPr>
        <w:t xml:space="preserve"> in contrast with our average tariffs on entry going down</w:t>
      </w:r>
      <w:r w:rsidR="00A53A52">
        <w:rPr>
          <w:sz w:val="21"/>
          <w:szCs w:val="21"/>
        </w:rPr>
        <w:t xml:space="preserve">. </w:t>
      </w:r>
    </w:p>
    <w:p w14:paraId="6356DAA6" w14:textId="77777777" w:rsidR="00EB69B0" w:rsidRDefault="00EB69B0" w:rsidP="003E0A94">
      <w:pPr>
        <w:pStyle w:val="ListParagraph"/>
        <w:rPr>
          <w:sz w:val="21"/>
          <w:szCs w:val="21"/>
        </w:rPr>
      </w:pPr>
    </w:p>
    <w:p w14:paraId="25D276B7" w14:textId="77777777" w:rsidR="002C3E32" w:rsidRPr="00070AC9" w:rsidRDefault="002C3E32" w:rsidP="002C3E32">
      <w:pPr>
        <w:rPr>
          <w:b/>
          <w:sz w:val="21"/>
          <w:szCs w:val="21"/>
        </w:rPr>
      </w:pPr>
      <w:r w:rsidRPr="00070AC9">
        <w:rPr>
          <w:b/>
          <w:sz w:val="21"/>
          <w:szCs w:val="21"/>
        </w:rPr>
        <w:t>2</w:t>
      </w:r>
      <w:r w:rsidRPr="00070AC9">
        <w:rPr>
          <w:b/>
          <w:sz w:val="21"/>
          <w:szCs w:val="21"/>
        </w:rPr>
        <w:tab/>
      </w:r>
      <w:r w:rsidRPr="00070AC9">
        <w:rPr>
          <w:b/>
          <w:sz w:val="21"/>
          <w:szCs w:val="21"/>
        </w:rPr>
        <w:tab/>
        <w:t>Assessment and marking practices</w:t>
      </w:r>
    </w:p>
    <w:p w14:paraId="16211569" w14:textId="77777777" w:rsidR="002C3E32" w:rsidRPr="00070AC9" w:rsidRDefault="002C3E32" w:rsidP="002C3E32">
      <w:pPr>
        <w:rPr>
          <w:b/>
          <w:sz w:val="21"/>
          <w:szCs w:val="21"/>
        </w:rPr>
      </w:pPr>
    </w:p>
    <w:p w14:paraId="0E3F2933" w14:textId="1F4796E2" w:rsidR="00CB19F2" w:rsidRDefault="002D1CCA" w:rsidP="002C3E32">
      <w:pPr>
        <w:rPr>
          <w:sz w:val="21"/>
          <w:szCs w:val="21"/>
        </w:rPr>
      </w:pPr>
      <w:r w:rsidRPr="00070AC9">
        <w:rPr>
          <w:sz w:val="21"/>
          <w:szCs w:val="21"/>
        </w:rPr>
        <w:t xml:space="preserve">The School assures itself that assessment criteria meet sector reference points through </w:t>
      </w:r>
      <w:r w:rsidR="00CB19F2" w:rsidRPr="00070AC9">
        <w:rPr>
          <w:sz w:val="21"/>
          <w:szCs w:val="21"/>
        </w:rPr>
        <w:t>the following key processes:</w:t>
      </w:r>
    </w:p>
    <w:p w14:paraId="18740BFC" w14:textId="77777777" w:rsidR="00A53A52" w:rsidRDefault="00A53A52" w:rsidP="002C3E32">
      <w:pPr>
        <w:rPr>
          <w:sz w:val="21"/>
          <w:szCs w:val="21"/>
        </w:rPr>
      </w:pPr>
    </w:p>
    <w:p w14:paraId="6076A8D9" w14:textId="77777777" w:rsidR="005D0339" w:rsidRPr="00070AC9" w:rsidRDefault="005D0339" w:rsidP="005D0339">
      <w:pPr>
        <w:pStyle w:val="ListParagraph"/>
        <w:numPr>
          <w:ilvl w:val="0"/>
          <w:numId w:val="2"/>
        </w:numPr>
        <w:rPr>
          <w:sz w:val="21"/>
          <w:szCs w:val="21"/>
        </w:rPr>
      </w:pPr>
      <w:r w:rsidRPr="00070AC9">
        <w:rPr>
          <w:sz w:val="21"/>
          <w:szCs w:val="21"/>
        </w:rPr>
        <w:t xml:space="preserve">The design and development of programmes with alignment to the Framework for Higher Education Qualifications (FHEQ), national credit frameworks and subject benchmark </w:t>
      </w:r>
      <w:proofErr w:type="gramStart"/>
      <w:r w:rsidRPr="00070AC9">
        <w:rPr>
          <w:sz w:val="21"/>
          <w:szCs w:val="21"/>
        </w:rPr>
        <w:t>statements;</w:t>
      </w:r>
      <w:proofErr w:type="gramEnd"/>
    </w:p>
    <w:p w14:paraId="43388937" w14:textId="77777777" w:rsidR="008E140B" w:rsidRPr="00070AC9" w:rsidRDefault="008E140B" w:rsidP="00CB19F2">
      <w:pPr>
        <w:pStyle w:val="ListParagraph"/>
        <w:numPr>
          <w:ilvl w:val="0"/>
          <w:numId w:val="2"/>
        </w:numPr>
        <w:rPr>
          <w:sz w:val="21"/>
          <w:szCs w:val="21"/>
        </w:rPr>
      </w:pPr>
      <w:r w:rsidRPr="00070AC9">
        <w:rPr>
          <w:sz w:val="21"/>
          <w:szCs w:val="21"/>
        </w:rPr>
        <w:t xml:space="preserve">All </w:t>
      </w:r>
      <w:r w:rsidR="00A25A18" w:rsidRPr="00070AC9">
        <w:rPr>
          <w:sz w:val="21"/>
          <w:szCs w:val="21"/>
        </w:rPr>
        <w:t xml:space="preserve">assessment being </w:t>
      </w:r>
      <w:r w:rsidRPr="00070AC9">
        <w:rPr>
          <w:sz w:val="21"/>
          <w:szCs w:val="21"/>
        </w:rPr>
        <w:t xml:space="preserve">undertaken by full- and part-time contracted </w:t>
      </w:r>
      <w:r w:rsidR="00A25A18" w:rsidRPr="00070AC9">
        <w:rPr>
          <w:sz w:val="21"/>
          <w:szCs w:val="21"/>
        </w:rPr>
        <w:t xml:space="preserve">and trained </w:t>
      </w:r>
      <w:r w:rsidRPr="00070AC9">
        <w:rPr>
          <w:sz w:val="21"/>
          <w:szCs w:val="21"/>
        </w:rPr>
        <w:t xml:space="preserve">academic </w:t>
      </w:r>
      <w:proofErr w:type="gramStart"/>
      <w:r w:rsidRPr="00070AC9">
        <w:rPr>
          <w:sz w:val="21"/>
          <w:szCs w:val="21"/>
        </w:rPr>
        <w:t>staff;</w:t>
      </w:r>
      <w:proofErr w:type="gramEnd"/>
      <w:r w:rsidRPr="00070AC9">
        <w:rPr>
          <w:sz w:val="21"/>
          <w:szCs w:val="21"/>
        </w:rPr>
        <w:t xml:space="preserve"> </w:t>
      </w:r>
    </w:p>
    <w:p w14:paraId="6AF4CA89" w14:textId="77777777" w:rsidR="002D1CCA" w:rsidRPr="00070AC9" w:rsidRDefault="008E140B" w:rsidP="00CB19F2">
      <w:pPr>
        <w:pStyle w:val="ListParagraph"/>
        <w:numPr>
          <w:ilvl w:val="0"/>
          <w:numId w:val="2"/>
        </w:numPr>
        <w:rPr>
          <w:sz w:val="21"/>
          <w:szCs w:val="21"/>
        </w:rPr>
      </w:pPr>
      <w:r w:rsidRPr="00070AC9">
        <w:rPr>
          <w:sz w:val="21"/>
          <w:szCs w:val="21"/>
        </w:rPr>
        <w:t>E</w:t>
      </w:r>
      <w:r w:rsidR="002D1CCA" w:rsidRPr="00070AC9">
        <w:rPr>
          <w:sz w:val="21"/>
          <w:szCs w:val="21"/>
        </w:rPr>
        <w:t xml:space="preserve">xternal examination of its programmes, which takes into account the standards outlined within the </w:t>
      </w:r>
      <w:r w:rsidR="005D0339" w:rsidRPr="00070AC9">
        <w:rPr>
          <w:sz w:val="21"/>
          <w:szCs w:val="21"/>
        </w:rPr>
        <w:t xml:space="preserve">FHEQ </w:t>
      </w:r>
      <w:r w:rsidR="002D1CCA" w:rsidRPr="00070AC9">
        <w:rPr>
          <w:sz w:val="21"/>
          <w:szCs w:val="21"/>
        </w:rPr>
        <w:t xml:space="preserve">and associated guidance on academic credit frameworks for providers within the </w:t>
      </w:r>
      <w:r w:rsidR="00CB19F2" w:rsidRPr="00070AC9">
        <w:rPr>
          <w:sz w:val="21"/>
          <w:szCs w:val="21"/>
        </w:rPr>
        <w:t xml:space="preserve">United </w:t>
      </w:r>
      <w:proofErr w:type="gramStart"/>
      <w:r w:rsidR="00CB19F2" w:rsidRPr="00070AC9">
        <w:rPr>
          <w:sz w:val="21"/>
          <w:szCs w:val="21"/>
        </w:rPr>
        <w:t>Kingdom</w:t>
      </w:r>
      <w:r w:rsidR="00463B45" w:rsidRPr="00070AC9">
        <w:rPr>
          <w:sz w:val="21"/>
          <w:szCs w:val="21"/>
        </w:rPr>
        <w:t>;</w:t>
      </w:r>
      <w:proofErr w:type="gramEnd"/>
      <w:r w:rsidR="00CB19F2" w:rsidRPr="00070AC9">
        <w:rPr>
          <w:sz w:val="21"/>
          <w:szCs w:val="21"/>
        </w:rPr>
        <w:t xml:space="preserve"> </w:t>
      </w:r>
    </w:p>
    <w:p w14:paraId="4C0AD584" w14:textId="77777777" w:rsidR="008E140B" w:rsidRPr="00070AC9" w:rsidRDefault="008E140B" w:rsidP="00CB19F2">
      <w:pPr>
        <w:pStyle w:val="ListParagraph"/>
        <w:numPr>
          <w:ilvl w:val="0"/>
          <w:numId w:val="2"/>
        </w:numPr>
        <w:rPr>
          <w:sz w:val="21"/>
          <w:szCs w:val="21"/>
        </w:rPr>
      </w:pPr>
      <w:r w:rsidRPr="00070AC9">
        <w:rPr>
          <w:sz w:val="21"/>
          <w:szCs w:val="21"/>
        </w:rPr>
        <w:t xml:space="preserve">All degree weighted student assessments are double marked or moderated, and samples are considered by external </w:t>
      </w:r>
      <w:proofErr w:type="gramStart"/>
      <w:r w:rsidRPr="00070AC9">
        <w:rPr>
          <w:sz w:val="21"/>
          <w:szCs w:val="21"/>
        </w:rPr>
        <w:t>examiners;</w:t>
      </w:r>
      <w:proofErr w:type="gramEnd"/>
    </w:p>
    <w:p w14:paraId="56AE0A95" w14:textId="4E110792" w:rsidR="00CB19F2" w:rsidRPr="00070AC9" w:rsidRDefault="008E140B" w:rsidP="00CB19F2">
      <w:pPr>
        <w:pStyle w:val="ListParagraph"/>
        <w:numPr>
          <w:ilvl w:val="0"/>
          <w:numId w:val="2"/>
        </w:numPr>
        <w:rPr>
          <w:sz w:val="21"/>
          <w:szCs w:val="21"/>
        </w:rPr>
      </w:pPr>
      <w:r w:rsidRPr="00070AC9">
        <w:rPr>
          <w:sz w:val="21"/>
          <w:szCs w:val="21"/>
        </w:rPr>
        <w:t>T</w:t>
      </w:r>
      <w:r w:rsidR="00CB19F2" w:rsidRPr="00070AC9">
        <w:rPr>
          <w:sz w:val="21"/>
          <w:szCs w:val="21"/>
        </w:rPr>
        <w:t xml:space="preserve">he </w:t>
      </w:r>
      <w:r w:rsidR="008C0208">
        <w:rPr>
          <w:sz w:val="21"/>
          <w:szCs w:val="21"/>
        </w:rPr>
        <w:t xml:space="preserve">professional </w:t>
      </w:r>
      <w:r w:rsidR="00CB19F2" w:rsidRPr="00070AC9">
        <w:rPr>
          <w:sz w:val="21"/>
          <w:szCs w:val="21"/>
        </w:rPr>
        <w:t xml:space="preserve">development of academic staff through engagement in subject communities, </w:t>
      </w:r>
      <w:r w:rsidR="00B50312" w:rsidRPr="00070AC9">
        <w:rPr>
          <w:sz w:val="21"/>
          <w:szCs w:val="21"/>
        </w:rPr>
        <w:t xml:space="preserve">acting as external examiners, </w:t>
      </w:r>
      <w:r w:rsidR="00CB19F2" w:rsidRPr="00070AC9">
        <w:rPr>
          <w:sz w:val="21"/>
          <w:szCs w:val="21"/>
        </w:rPr>
        <w:t>undertaking research</w:t>
      </w:r>
      <w:r w:rsidR="00AE008B">
        <w:rPr>
          <w:sz w:val="21"/>
          <w:szCs w:val="21"/>
        </w:rPr>
        <w:t xml:space="preserve"> and scholarship</w:t>
      </w:r>
      <w:r w:rsidR="00CB19F2" w:rsidRPr="00070AC9">
        <w:rPr>
          <w:sz w:val="21"/>
          <w:szCs w:val="21"/>
        </w:rPr>
        <w:t xml:space="preserve">, </w:t>
      </w:r>
      <w:r w:rsidR="00AE008B">
        <w:rPr>
          <w:sz w:val="21"/>
          <w:szCs w:val="21"/>
        </w:rPr>
        <w:t xml:space="preserve">engaging in professional </w:t>
      </w:r>
      <w:r w:rsidR="00AE008B">
        <w:rPr>
          <w:sz w:val="21"/>
          <w:szCs w:val="21"/>
        </w:rPr>
        <w:lastRenderedPageBreak/>
        <w:t xml:space="preserve">practice </w:t>
      </w:r>
      <w:r w:rsidR="00CB19F2" w:rsidRPr="00070AC9">
        <w:rPr>
          <w:sz w:val="21"/>
          <w:szCs w:val="21"/>
        </w:rPr>
        <w:t xml:space="preserve">and </w:t>
      </w:r>
      <w:r w:rsidR="00AE008B">
        <w:rPr>
          <w:sz w:val="21"/>
          <w:szCs w:val="21"/>
        </w:rPr>
        <w:t xml:space="preserve">support for </w:t>
      </w:r>
      <w:r w:rsidR="00CB19F2" w:rsidRPr="00070AC9">
        <w:rPr>
          <w:sz w:val="21"/>
          <w:szCs w:val="21"/>
        </w:rPr>
        <w:t>staff in attaining fellowship at all levels from Advance HE</w:t>
      </w:r>
      <w:r w:rsidR="00463B45" w:rsidRPr="00070AC9">
        <w:rPr>
          <w:sz w:val="21"/>
          <w:szCs w:val="21"/>
        </w:rPr>
        <w:t xml:space="preserve"> </w:t>
      </w:r>
      <w:r w:rsidR="00B50312" w:rsidRPr="00070AC9">
        <w:rPr>
          <w:sz w:val="21"/>
          <w:szCs w:val="21"/>
        </w:rPr>
        <w:t>(formerly the Higher Education Academy) in recognition and development of their teaching practice</w:t>
      </w:r>
      <w:r w:rsidR="00463B45" w:rsidRPr="00070AC9">
        <w:rPr>
          <w:sz w:val="21"/>
          <w:szCs w:val="21"/>
        </w:rPr>
        <w:t>.</w:t>
      </w:r>
    </w:p>
    <w:p w14:paraId="6DD8E9F7" w14:textId="77777777" w:rsidR="002D1CCA" w:rsidRPr="00070AC9" w:rsidRDefault="002D1CCA" w:rsidP="002C3E32">
      <w:pPr>
        <w:rPr>
          <w:b/>
          <w:sz w:val="21"/>
          <w:szCs w:val="21"/>
        </w:rPr>
      </w:pPr>
    </w:p>
    <w:p w14:paraId="3594A1E4" w14:textId="77958C2F" w:rsidR="00463B45" w:rsidRPr="00070AC9" w:rsidRDefault="00463B45" w:rsidP="002C3E32">
      <w:pPr>
        <w:rPr>
          <w:sz w:val="21"/>
          <w:szCs w:val="21"/>
        </w:rPr>
      </w:pPr>
      <w:r w:rsidRPr="00070AC9">
        <w:rPr>
          <w:sz w:val="21"/>
          <w:szCs w:val="21"/>
        </w:rPr>
        <w:t>The School appoints external examiners from other institutions across the United Kingdom to confirm that the School’s academic standards remain commensurate with national expectations, via participation in the Examination Boards where marks and awards are confirmed and through formal annual report. We have consistently received this assurance for undergraduate awards</w:t>
      </w:r>
      <w:r w:rsidR="00390014">
        <w:rPr>
          <w:sz w:val="21"/>
          <w:szCs w:val="21"/>
        </w:rPr>
        <w:t xml:space="preserve">, and in recent years across levels it has been recommended to use marks at the higher end of the marking scale (which inevitably impacts on the number of students receiving first class awards in particular). </w:t>
      </w:r>
    </w:p>
    <w:p w14:paraId="221376BB" w14:textId="77777777" w:rsidR="00463B45" w:rsidRPr="00070AC9" w:rsidRDefault="00463B45" w:rsidP="002C3E32">
      <w:pPr>
        <w:rPr>
          <w:b/>
          <w:sz w:val="21"/>
          <w:szCs w:val="21"/>
        </w:rPr>
      </w:pPr>
    </w:p>
    <w:p w14:paraId="5FBEA1AC" w14:textId="77777777" w:rsidR="00463B45" w:rsidRPr="00070AC9" w:rsidRDefault="00463B45" w:rsidP="00463B45">
      <w:pPr>
        <w:rPr>
          <w:sz w:val="21"/>
          <w:szCs w:val="21"/>
        </w:rPr>
      </w:pPr>
      <w:r w:rsidRPr="00070AC9">
        <w:rPr>
          <w:sz w:val="21"/>
          <w:szCs w:val="21"/>
        </w:rPr>
        <w:t xml:space="preserve">External scrutiny is also provided through the appointment of academics and practitioners working in related fields annual monitoring, periodic review and validation and/or revalidation of programmes, as detailed in our </w:t>
      </w:r>
      <w:hyperlink r:id="rId10" w:history="1">
        <w:r w:rsidRPr="00070AC9">
          <w:rPr>
            <w:rStyle w:val="Hyperlink"/>
            <w:sz w:val="21"/>
            <w:szCs w:val="21"/>
          </w:rPr>
          <w:t>Handbook of Quality Assurance and Enhancement</w:t>
        </w:r>
      </w:hyperlink>
      <w:r w:rsidRPr="00070AC9">
        <w:rPr>
          <w:sz w:val="21"/>
          <w:szCs w:val="21"/>
        </w:rPr>
        <w:t>.</w:t>
      </w:r>
    </w:p>
    <w:p w14:paraId="2F4D371A" w14:textId="77777777" w:rsidR="00463B45" w:rsidRPr="00070AC9" w:rsidRDefault="00463B45" w:rsidP="002C3E32">
      <w:pPr>
        <w:rPr>
          <w:b/>
          <w:sz w:val="21"/>
          <w:szCs w:val="21"/>
        </w:rPr>
      </w:pPr>
    </w:p>
    <w:p w14:paraId="40479E56" w14:textId="77777777" w:rsidR="002C3E32" w:rsidRPr="00070AC9" w:rsidRDefault="002C3E32" w:rsidP="002C3E32">
      <w:pPr>
        <w:rPr>
          <w:b/>
          <w:sz w:val="21"/>
          <w:szCs w:val="21"/>
        </w:rPr>
      </w:pPr>
      <w:r w:rsidRPr="00070AC9">
        <w:rPr>
          <w:b/>
          <w:sz w:val="21"/>
          <w:szCs w:val="21"/>
        </w:rPr>
        <w:t>3</w:t>
      </w:r>
      <w:r w:rsidRPr="00070AC9">
        <w:rPr>
          <w:b/>
          <w:sz w:val="21"/>
          <w:szCs w:val="21"/>
        </w:rPr>
        <w:tab/>
      </w:r>
      <w:r w:rsidRPr="00070AC9">
        <w:rPr>
          <w:b/>
          <w:sz w:val="21"/>
          <w:szCs w:val="21"/>
        </w:rPr>
        <w:tab/>
        <w:t>Academic governance</w:t>
      </w:r>
    </w:p>
    <w:p w14:paraId="1692246F" w14:textId="77777777" w:rsidR="002C3E32" w:rsidRPr="00070AC9" w:rsidRDefault="002C3E32" w:rsidP="002C3E32">
      <w:pPr>
        <w:rPr>
          <w:b/>
          <w:sz w:val="21"/>
          <w:szCs w:val="21"/>
        </w:rPr>
      </w:pPr>
    </w:p>
    <w:p w14:paraId="7F8C6BF8" w14:textId="634B1094" w:rsidR="00304198" w:rsidRPr="00070AC9" w:rsidRDefault="00304198" w:rsidP="002C3E32">
      <w:pPr>
        <w:rPr>
          <w:sz w:val="21"/>
          <w:szCs w:val="21"/>
        </w:rPr>
      </w:pPr>
      <w:r w:rsidRPr="00070AC9">
        <w:rPr>
          <w:sz w:val="21"/>
          <w:szCs w:val="21"/>
        </w:rPr>
        <w:t>Academic gove</w:t>
      </w:r>
      <w:r w:rsidR="00DA6D58" w:rsidRPr="00070AC9">
        <w:rPr>
          <w:sz w:val="21"/>
          <w:szCs w:val="21"/>
        </w:rPr>
        <w:t xml:space="preserve">rnance plays a pivotal role in protecting the value </w:t>
      </w:r>
      <w:r w:rsidR="00463B45" w:rsidRPr="00070AC9">
        <w:rPr>
          <w:sz w:val="21"/>
          <w:szCs w:val="21"/>
        </w:rPr>
        <w:t>of our qualifications over time</w:t>
      </w:r>
      <w:r w:rsidR="0037097B" w:rsidRPr="00070AC9">
        <w:rPr>
          <w:sz w:val="21"/>
          <w:szCs w:val="21"/>
        </w:rPr>
        <w:t xml:space="preserve">. </w:t>
      </w:r>
      <w:r w:rsidR="00E2190A" w:rsidRPr="00070AC9">
        <w:rPr>
          <w:sz w:val="21"/>
          <w:szCs w:val="21"/>
        </w:rPr>
        <w:t xml:space="preserve">The Examination Board is a sub-committee of the Academic Board, </w:t>
      </w:r>
      <w:r w:rsidR="008C0208">
        <w:rPr>
          <w:sz w:val="21"/>
          <w:szCs w:val="21"/>
        </w:rPr>
        <w:t>which</w:t>
      </w:r>
      <w:r w:rsidR="008C0208" w:rsidRPr="00070AC9">
        <w:rPr>
          <w:sz w:val="21"/>
          <w:szCs w:val="21"/>
        </w:rPr>
        <w:t xml:space="preserve"> </w:t>
      </w:r>
      <w:r w:rsidR="00E2190A" w:rsidRPr="00070AC9">
        <w:rPr>
          <w:sz w:val="21"/>
          <w:szCs w:val="21"/>
        </w:rPr>
        <w:t>also oversee</w:t>
      </w:r>
      <w:r w:rsidR="008C0208">
        <w:rPr>
          <w:sz w:val="21"/>
          <w:szCs w:val="21"/>
        </w:rPr>
        <w:t>s</w:t>
      </w:r>
      <w:r w:rsidR="00E2190A" w:rsidRPr="00070AC9">
        <w:rPr>
          <w:sz w:val="21"/>
          <w:szCs w:val="21"/>
        </w:rPr>
        <w:t xml:space="preserve"> the value, academic standards and quality of our awards via annual monitoring, periodic review and validation and/or revalidation of programmes, as detailed in our </w:t>
      </w:r>
      <w:hyperlink r:id="rId11" w:history="1">
        <w:r w:rsidR="00E2190A" w:rsidRPr="00070AC9">
          <w:rPr>
            <w:rStyle w:val="Hyperlink"/>
            <w:sz w:val="21"/>
            <w:szCs w:val="21"/>
          </w:rPr>
          <w:t>Handbook of Quality Assurance and Enhancement</w:t>
        </w:r>
      </w:hyperlink>
      <w:r w:rsidR="00E2190A" w:rsidRPr="00070AC9">
        <w:rPr>
          <w:sz w:val="21"/>
          <w:szCs w:val="21"/>
        </w:rPr>
        <w:t>. Academic Board provides an annual assurance to the Governing Body that it continues to manage and oversee the academic standards of awards and related quality of learning opportunities. The Governing Body, which includes an external academic member</w:t>
      </w:r>
      <w:r w:rsidR="00AE008B">
        <w:rPr>
          <w:sz w:val="21"/>
          <w:szCs w:val="21"/>
        </w:rPr>
        <w:t xml:space="preserve"> with significant higher education leadership experience</w:t>
      </w:r>
      <w:r w:rsidR="00E2190A" w:rsidRPr="00070AC9">
        <w:rPr>
          <w:sz w:val="21"/>
          <w:szCs w:val="21"/>
        </w:rPr>
        <w:t xml:space="preserve"> who </w:t>
      </w:r>
      <w:r w:rsidR="0039702B">
        <w:rPr>
          <w:sz w:val="21"/>
          <w:szCs w:val="21"/>
        </w:rPr>
        <w:t xml:space="preserve">attends </w:t>
      </w:r>
      <w:r w:rsidR="00E2190A" w:rsidRPr="00070AC9">
        <w:rPr>
          <w:sz w:val="21"/>
          <w:szCs w:val="21"/>
        </w:rPr>
        <w:t xml:space="preserve">Academic Board, </w:t>
      </w:r>
      <w:r w:rsidR="008C0208">
        <w:rPr>
          <w:sz w:val="21"/>
          <w:szCs w:val="21"/>
        </w:rPr>
        <w:t>has</w:t>
      </w:r>
      <w:r w:rsidR="008C0208" w:rsidRPr="00070AC9">
        <w:rPr>
          <w:sz w:val="21"/>
          <w:szCs w:val="21"/>
        </w:rPr>
        <w:t xml:space="preserve"> </w:t>
      </w:r>
      <w:r w:rsidR="00E2190A" w:rsidRPr="00070AC9">
        <w:rPr>
          <w:sz w:val="21"/>
          <w:szCs w:val="21"/>
        </w:rPr>
        <w:t xml:space="preserve">consistently accepted </w:t>
      </w:r>
      <w:r w:rsidR="008C0208">
        <w:rPr>
          <w:sz w:val="21"/>
          <w:szCs w:val="21"/>
        </w:rPr>
        <w:t>this</w:t>
      </w:r>
      <w:r w:rsidR="008C0208" w:rsidRPr="00070AC9">
        <w:rPr>
          <w:sz w:val="21"/>
          <w:szCs w:val="21"/>
        </w:rPr>
        <w:t xml:space="preserve"> </w:t>
      </w:r>
      <w:r w:rsidR="00E2190A" w:rsidRPr="00070AC9">
        <w:rPr>
          <w:sz w:val="21"/>
          <w:szCs w:val="21"/>
        </w:rPr>
        <w:t>assurance.</w:t>
      </w:r>
    </w:p>
    <w:p w14:paraId="49170B65" w14:textId="77777777" w:rsidR="00867E0E" w:rsidRPr="00070AC9" w:rsidRDefault="00867E0E" w:rsidP="002C3E32">
      <w:pPr>
        <w:rPr>
          <w:sz w:val="21"/>
          <w:szCs w:val="21"/>
        </w:rPr>
      </w:pPr>
    </w:p>
    <w:p w14:paraId="141CF6BD" w14:textId="2CA5B682" w:rsidR="00867E0E" w:rsidRPr="00070AC9" w:rsidRDefault="00867E0E" w:rsidP="002C3E32">
      <w:pPr>
        <w:rPr>
          <w:sz w:val="21"/>
          <w:szCs w:val="21"/>
        </w:rPr>
      </w:pPr>
      <w:r w:rsidRPr="00070AC9">
        <w:rPr>
          <w:sz w:val="21"/>
          <w:szCs w:val="21"/>
        </w:rPr>
        <w:t xml:space="preserve">As an awarding College of the University of London, </w:t>
      </w:r>
      <w:r w:rsidR="0039702B">
        <w:rPr>
          <w:sz w:val="21"/>
          <w:szCs w:val="21"/>
        </w:rPr>
        <w:t xml:space="preserve">Central </w:t>
      </w:r>
      <w:r w:rsidRPr="00070AC9">
        <w:rPr>
          <w:sz w:val="21"/>
          <w:szCs w:val="21"/>
        </w:rPr>
        <w:t>submit</w:t>
      </w:r>
      <w:r w:rsidR="0039702B">
        <w:rPr>
          <w:sz w:val="21"/>
          <w:szCs w:val="21"/>
        </w:rPr>
        <w:t>s</w:t>
      </w:r>
      <w:r w:rsidRPr="00070AC9">
        <w:rPr>
          <w:sz w:val="21"/>
          <w:szCs w:val="21"/>
        </w:rPr>
        <w:t xml:space="preserve"> an annual quality enhancement report for consideration by the University Academic Quality Advisory Committee and subsequently the University of London Collegiate Council. </w:t>
      </w:r>
    </w:p>
    <w:p w14:paraId="36326A5B" w14:textId="77777777" w:rsidR="00E2190A" w:rsidRPr="00070AC9" w:rsidRDefault="00E2190A" w:rsidP="002C3E32">
      <w:pPr>
        <w:rPr>
          <w:b/>
          <w:sz w:val="21"/>
          <w:szCs w:val="21"/>
        </w:rPr>
      </w:pPr>
    </w:p>
    <w:p w14:paraId="4726F9A7" w14:textId="77777777" w:rsidR="002C3E32" w:rsidRPr="00070AC9" w:rsidRDefault="002C3E32" w:rsidP="002C3E32">
      <w:pPr>
        <w:rPr>
          <w:b/>
          <w:sz w:val="21"/>
          <w:szCs w:val="21"/>
        </w:rPr>
      </w:pPr>
      <w:r w:rsidRPr="00070AC9">
        <w:rPr>
          <w:b/>
          <w:sz w:val="21"/>
          <w:szCs w:val="21"/>
        </w:rPr>
        <w:t>4</w:t>
      </w:r>
      <w:r w:rsidRPr="00070AC9">
        <w:rPr>
          <w:b/>
          <w:sz w:val="21"/>
          <w:szCs w:val="21"/>
        </w:rPr>
        <w:tab/>
      </w:r>
      <w:r w:rsidRPr="00070AC9">
        <w:rPr>
          <w:b/>
          <w:sz w:val="21"/>
          <w:szCs w:val="21"/>
        </w:rPr>
        <w:tab/>
        <w:t>Classification algorithms</w:t>
      </w:r>
    </w:p>
    <w:p w14:paraId="3D445848" w14:textId="77777777" w:rsidR="002C3E32" w:rsidRPr="00070AC9" w:rsidRDefault="002C3E32" w:rsidP="002C3E32">
      <w:pPr>
        <w:rPr>
          <w:b/>
          <w:sz w:val="21"/>
          <w:szCs w:val="21"/>
        </w:rPr>
      </w:pPr>
    </w:p>
    <w:p w14:paraId="01FB891E" w14:textId="77777777" w:rsidR="002C3E32" w:rsidRPr="00070AC9" w:rsidRDefault="002C3E32" w:rsidP="002C3E32">
      <w:pPr>
        <w:rPr>
          <w:sz w:val="21"/>
          <w:szCs w:val="21"/>
        </w:rPr>
      </w:pPr>
      <w:r w:rsidRPr="00070AC9">
        <w:rPr>
          <w:sz w:val="21"/>
          <w:szCs w:val="21"/>
        </w:rPr>
        <w:t xml:space="preserve">Central’s undergraduate degrees are calculated using </w:t>
      </w:r>
      <w:r w:rsidR="00B26D58" w:rsidRPr="00070AC9">
        <w:rPr>
          <w:sz w:val="21"/>
          <w:szCs w:val="21"/>
        </w:rPr>
        <w:t xml:space="preserve">a single </w:t>
      </w:r>
      <w:r w:rsidRPr="00070AC9">
        <w:rPr>
          <w:sz w:val="21"/>
          <w:szCs w:val="21"/>
        </w:rPr>
        <w:t>algorithm to calculate all final student marks:</w:t>
      </w:r>
    </w:p>
    <w:p w14:paraId="29C7F7E6" w14:textId="77777777" w:rsidR="002C3E32" w:rsidRPr="00070AC9" w:rsidRDefault="002C3E32" w:rsidP="002C3E32">
      <w:pPr>
        <w:rPr>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2C3E32" w:rsidRPr="00070AC9" w14:paraId="39F6A3F6" w14:textId="77777777" w:rsidTr="002C3E32">
        <w:trPr>
          <w:jc w:val="center"/>
        </w:trPr>
        <w:tc>
          <w:tcPr>
            <w:tcW w:w="3485" w:type="dxa"/>
          </w:tcPr>
          <w:p w14:paraId="777E0EA4" w14:textId="77777777" w:rsidR="002C3E32" w:rsidRPr="00070AC9" w:rsidRDefault="002C3E32" w:rsidP="002C3E32">
            <w:pPr>
              <w:jc w:val="center"/>
              <w:rPr>
                <w:b/>
                <w:sz w:val="21"/>
                <w:szCs w:val="21"/>
              </w:rPr>
            </w:pPr>
            <w:r w:rsidRPr="00070AC9">
              <w:rPr>
                <w:b/>
                <w:sz w:val="21"/>
                <w:szCs w:val="21"/>
              </w:rPr>
              <w:t>Undergraduate Year</w:t>
            </w:r>
          </w:p>
        </w:tc>
        <w:tc>
          <w:tcPr>
            <w:tcW w:w="3485" w:type="dxa"/>
          </w:tcPr>
          <w:p w14:paraId="3A04A37D" w14:textId="77777777" w:rsidR="002C3E32" w:rsidRPr="00070AC9" w:rsidRDefault="002C3E32" w:rsidP="002C3E32">
            <w:pPr>
              <w:jc w:val="center"/>
              <w:rPr>
                <w:b/>
                <w:sz w:val="21"/>
                <w:szCs w:val="21"/>
              </w:rPr>
            </w:pPr>
            <w:r w:rsidRPr="00070AC9">
              <w:rPr>
                <w:b/>
                <w:sz w:val="21"/>
                <w:szCs w:val="21"/>
              </w:rPr>
              <w:t>Credits</w:t>
            </w:r>
          </w:p>
        </w:tc>
        <w:tc>
          <w:tcPr>
            <w:tcW w:w="3486" w:type="dxa"/>
          </w:tcPr>
          <w:p w14:paraId="5F00BA44" w14:textId="77777777" w:rsidR="002C3E32" w:rsidRPr="00070AC9" w:rsidRDefault="002C3E32" w:rsidP="002C3E32">
            <w:pPr>
              <w:jc w:val="center"/>
              <w:rPr>
                <w:b/>
                <w:sz w:val="21"/>
                <w:szCs w:val="21"/>
              </w:rPr>
            </w:pPr>
            <w:r w:rsidRPr="00070AC9">
              <w:rPr>
                <w:b/>
                <w:sz w:val="21"/>
                <w:szCs w:val="21"/>
              </w:rPr>
              <w:t>Weighting within Calculation</w:t>
            </w:r>
          </w:p>
        </w:tc>
      </w:tr>
      <w:tr w:rsidR="002C3E32" w:rsidRPr="00070AC9" w14:paraId="1AB952B6" w14:textId="77777777" w:rsidTr="002C3E32">
        <w:trPr>
          <w:jc w:val="center"/>
        </w:trPr>
        <w:tc>
          <w:tcPr>
            <w:tcW w:w="3485" w:type="dxa"/>
          </w:tcPr>
          <w:p w14:paraId="45FCE55D" w14:textId="77777777" w:rsidR="002C3E32" w:rsidRPr="00070AC9" w:rsidRDefault="002C3E32" w:rsidP="002C3E32">
            <w:pPr>
              <w:jc w:val="center"/>
              <w:rPr>
                <w:sz w:val="21"/>
                <w:szCs w:val="21"/>
              </w:rPr>
            </w:pPr>
            <w:r w:rsidRPr="00070AC9">
              <w:rPr>
                <w:sz w:val="21"/>
                <w:szCs w:val="21"/>
              </w:rPr>
              <w:t>Year 1</w:t>
            </w:r>
          </w:p>
        </w:tc>
        <w:tc>
          <w:tcPr>
            <w:tcW w:w="3485" w:type="dxa"/>
          </w:tcPr>
          <w:p w14:paraId="11F80830" w14:textId="77777777" w:rsidR="002C3E32" w:rsidRPr="00070AC9" w:rsidRDefault="002C3E32" w:rsidP="002C3E32">
            <w:pPr>
              <w:jc w:val="center"/>
              <w:rPr>
                <w:sz w:val="21"/>
                <w:szCs w:val="21"/>
              </w:rPr>
            </w:pPr>
            <w:r w:rsidRPr="00070AC9">
              <w:rPr>
                <w:sz w:val="21"/>
                <w:szCs w:val="21"/>
              </w:rPr>
              <w:t>120</w:t>
            </w:r>
          </w:p>
        </w:tc>
        <w:tc>
          <w:tcPr>
            <w:tcW w:w="3486" w:type="dxa"/>
          </w:tcPr>
          <w:p w14:paraId="735EE663" w14:textId="77777777" w:rsidR="002C3E32" w:rsidRPr="00070AC9" w:rsidRDefault="002C3E32" w:rsidP="002C3E32">
            <w:pPr>
              <w:jc w:val="center"/>
              <w:rPr>
                <w:sz w:val="21"/>
                <w:szCs w:val="21"/>
              </w:rPr>
            </w:pPr>
            <w:r w:rsidRPr="00070AC9">
              <w:rPr>
                <w:sz w:val="21"/>
                <w:szCs w:val="21"/>
              </w:rPr>
              <w:t>0%</w:t>
            </w:r>
          </w:p>
        </w:tc>
      </w:tr>
      <w:tr w:rsidR="002C3E32" w:rsidRPr="00070AC9" w14:paraId="42916245" w14:textId="77777777" w:rsidTr="002C3E32">
        <w:trPr>
          <w:jc w:val="center"/>
        </w:trPr>
        <w:tc>
          <w:tcPr>
            <w:tcW w:w="3485" w:type="dxa"/>
          </w:tcPr>
          <w:p w14:paraId="52A6D593" w14:textId="77777777" w:rsidR="002C3E32" w:rsidRPr="00070AC9" w:rsidRDefault="002C3E32" w:rsidP="002C3E32">
            <w:pPr>
              <w:jc w:val="center"/>
              <w:rPr>
                <w:sz w:val="21"/>
                <w:szCs w:val="21"/>
              </w:rPr>
            </w:pPr>
            <w:r w:rsidRPr="00070AC9">
              <w:rPr>
                <w:sz w:val="21"/>
                <w:szCs w:val="21"/>
              </w:rPr>
              <w:t>Year 2</w:t>
            </w:r>
          </w:p>
        </w:tc>
        <w:tc>
          <w:tcPr>
            <w:tcW w:w="3485" w:type="dxa"/>
          </w:tcPr>
          <w:p w14:paraId="21969CFB" w14:textId="369B0745" w:rsidR="002C3E32" w:rsidRPr="00070AC9" w:rsidRDefault="002C3E32">
            <w:pPr>
              <w:jc w:val="center"/>
              <w:rPr>
                <w:sz w:val="21"/>
                <w:szCs w:val="21"/>
              </w:rPr>
            </w:pPr>
            <w:r w:rsidRPr="00070AC9">
              <w:rPr>
                <w:sz w:val="21"/>
                <w:szCs w:val="21"/>
              </w:rPr>
              <w:t>60</w:t>
            </w:r>
            <w:r w:rsidR="00A53A52">
              <w:rPr>
                <w:sz w:val="21"/>
                <w:szCs w:val="21"/>
              </w:rPr>
              <w:t xml:space="preserve"> + 60</w:t>
            </w:r>
          </w:p>
        </w:tc>
        <w:tc>
          <w:tcPr>
            <w:tcW w:w="3486" w:type="dxa"/>
          </w:tcPr>
          <w:p w14:paraId="68F60E59" w14:textId="71297EBE" w:rsidR="002C3E32" w:rsidRPr="00070AC9" w:rsidRDefault="002C3E32">
            <w:pPr>
              <w:jc w:val="center"/>
              <w:rPr>
                <w:sz w:val="21"/>
                <w:szCs w:val="21"/>
              </w:rPr>
            </w:pPr>
            <w:r w:rsidRPr="00070AC9">
              <w:rPr>
                <w:sz w:val="21"/>
                <w:szCs w:val="21"/>
              </w:rPr>
              <w:t>0%</w:t>
            </w:r>
            <w:r w:rsidR="00A53A52">
              <w:rPr>
                <w:sz w:val="21"/>
                <w:szCs w:val="21"/>
              </w:rPr>
              <w:t xml:space="preserve"> + 25%</w:t>
            </w:r>
          </w:p>
        </w:tc>
      </w:tr>
      <w:tr w:rsidR="002C3E32" w:rsidRPr="00070AC9" w14:paraId="1D45C7FF" w14:textId="77777777" w:rsidTr="002C3E32">
        <w:trPr>
          <w:jc w:val="center"/>
        </w:trPr>
        <w:tc>
          <w:tcPr>
            <w:tcW w:w="3485" w:type="dxa"/>
          </w:tcPr>
          <w:p w14:paraId="5E73C728" w14:textId="77777777" w:rsidR="002C3E32" w:rsidRPr="00070AC9" w:rsidRDefault="002C3E32" w:rsidP="002C3E32">
            <w:pPr>
              <w:jc w:val="center"/>
              <w:rPr>
                <w:sz w:val="21"/>
                <w:szCs w:val="21"/>
              </w:rPr>
            </w:pPr>
            <w:r w:rsidRPr="00070AC9">
              <w:rPr>
                <w:sz w:val="21"/>
                <w:szCs w:val="21"/>
              </w:rPr>
              <w:t>Year 3</w:t>
            </w:r>
          </w:p>
        </w:tc>
        <w:tc>
          <w:tcPr>
            <w:tcW w:w="3485" w:type="dxa"/>
          </w:tcPr>
          <w:p w14:paraId="1AAC3E6C" w14:textId="77777777" w:rsidR="002C3E32" w:rsidRPr="00070AC9" w:rsidRDefault="002C3E32" w:rsidP="002C3E32">
            <w:pPr>
              <w:jc w:val="center"/>
              <w:rPr>
                <w:sz w:val="21"/>
                <w:szCs w:val="21"/>
              </w:rPr>
            </w:pPr>
            <w:r w:rsidRPr="00070AC9">
              <w:rPr>
                <w:sz w:val="21"/>
                <w:szCs w:val="21"/>
              </w:rPr>
              <w:t>120</w:t>
            </w:r>
          </w:p>
        </w:tc>
        <w:tc>
          <w:tcPr>
            <w:tcW w:w="3486" w:type="dxa"/>
          </w:tcPr>
          <w:p w14:paraId="5CE3767F" w14:textId="77777777" w:rsidR="002C3E32" w:rsidRPr="00070AC9" w:rsidRDefault="002C3E32" w:rsidP="002C3E32">
            <w:pPr>
              <w:jc w:val="center"/>
              <w:rPr>
                <w:sz w:val="21"/>
                <w:szCs w:val="21"/>
              </w:rPr>
            </w:pPr>
            <w:r w:rsidRPr="00070AC9">
              <w:rPr>
                <w:sz w:val="21"/>
                <w:szCs w:val="21"/>
              </w:rPr>
              <w:t>75%</w:t>
            </w:r>
          </w:p>
        </w:tc>
      </w:tr>
    </w:tbl>
    <w:p w14:paraId="19163DA8" w14:textId="77777777" w:rsidR="002C3E32" w:rsidRPr="00070AC9" w:rsidRDefault="002C3E32" w:rsidP="002C3E32">
      <w:pPr>
        <w:rPr>
          <w:sz w:val="21"/>
          <w:szCs w:val="21"/>
        </w:rPr>
      </w:pPr>
    </w:p>
    <w:p w14:paraId="05481C78" w14:textId="5146B85F" w:rsidR="00D03F32" w:rsidRPr="00070AC9" w:rsidRDefault="00B26D58" w:rsidP="002C3E32">
      <w:pPr>
        <w:rPr>
          <w:sz w:val="21"/>
          <w:szCs w:val="21"/>
        </w:rPr>
      </w:pPr>
      <w:r w:rsidRPr="00070AC9">
        <w:rPr>
          <w:sz w:val="21"/>
          <w:szCs w:val="21"/>
        </w:rPr>
        <w:t xml:space="preserve">This algorithm is weighted more heavily towards the latter stages of an undergraduate programme </w:t>
      </w:r>
      <w:proofErr w:type="gramStart"/>
      <w:r w:rsidRPr="00070AC9">
        <w:rPr>
          <w:sz w:val="21"/>
          <w:szCs w:val="21"/>
        </w:rPr>
        <w:t>as a result of</w:t>
      </w:r>
      <w:proofErr w:type="gramEnd"/>
      <w:r w:rsidRPr="00070AC9">
        <w:rPr>
          <w:sz w:val="21"/>
          <w:szCs w:val="21"/>
        </w:rPr>
        <w:t xml:space="preserve"> the practice-focused nature of our specialist degrees, where student learning and development follows a non-linear, curving trajectory as their skills develop and they begin to connect different aspects of their abilities (in parallel with the development of their academic </w:t>
      </w:r>
      <w:r w:rsidR="00787098" w:rsidRPr="00070AC9">
        <w:rPr>
          <w:sz w:val="21"/>
          <w:szCs w:val="21"/>
        </w:rPr>
        <w:t>learning</w:t>
      </w:r>
      <w:r w:rsidRPr="00070AC9">
        <w:rPr>
          <w:sz w:val="21"/>
          <w:szCs w:val="21"/>
        </w:rPr>
        <w:t xml:space="preserve">). </w:t>
      </w:r>
      <w:r w:rsidR="00787098" w:rsidRPr="00070AC9">
        <w:rPr>
          <w:sz w:val="21"/>
          <w:szCs w:val="21"/>
        </w:rPr>
        <w:t xml:space="preserve">Students and the </w:t>
      </w:r>
      <w:r w:rsidR="000A0CF9" w:rsidRPr="00070AC9">
        <w:rPr>
          <w:sz w:val="21"/>
          <w:szCs w:val="21"/>
        </w:rPr>
        <w:t>public</w:t>
      </w:r>
      <w:r w:rsidR="00787098" w:rsidRPr="00070AC9">
        <w:rPr>
          <w:sz w:val="21"/>
          <w:szCs w:val="21"/>
        </w:rPr>
        <w:t xml:space="preserve"> </w:t>
      </w:r>
      <w:proofErr w:type="gramStart"/>
      <w:r w:rsidR="00787098" w:rsidRPr="00070AC9">
        <w:rPr>
          <w:sz w:val="21"/>
          <w:szCs w:val="21"/>
        </w:rPr>
        <w:t>are able to</w:t>
      </w:r>
      <w:proofErr w:type="gramEnd"/>
      <w:r w:rsidR="00787098" w:rsidRPr="00070AC9">
        <w:rPr>
          <w:sz w:val="21"/>
          <w:szCs w:val="21"/>
        </w:rPr>
        <w:t xml:space="preserve"> identify which units contribute to this weighting via our programme </w:t>
      </w:r>
      <w:r w:rsidR="000A0CF9" w:rsidRPr="00070AC9">
        <w:rPr>
          <w:sz w:val="21"/>
          <w:szCs w:val="21"/>
        </w:rPr>
        <w:t>specifications, which</w:t>
      </w:r>
      <w:r w:rsidR="00787098" w:rsidRPr="00070AC9">
        <w:rPr>
          <w:sz w:val="21"/>
          <w:szCs w:val="21"/>
        </w:rPr>
        <w:t xml:space="preserve"> are published </w:t>
      </w:r>
      <w:hyperlink r:id="rId12" w:history="1">
        <w:r w:rsidR="00787098" w:rsidRPr="00070AC9">
          <w:rPr>
            <w:rStyle w:val="Hyperlink"/>
            <w:sz w:val="21"/>
            <w:szCs w:val="21"/>
          </w:rPr>
          <w:t>online</w:t>
        </w:r>
      </w:hyperlink>
      <w:r w:rsidR="00787098" w:rsidRPr="00070AC9">
        <w:rPr>
          <w:sz w:val="21"/>
          <w:szCs w:val="21"/>
        </w:rPr>
        <w:t xml:space="preserve">, and for students this is re-emphasised within assessment grids made available to them via our internal virtual learning environment. </w:t>
      </w:r>
      <w:r w:rsidR="008069C1" w:rsidRPr="00070AC9">
        <w:rPr>
          <w:sz w:val="21"/>
          <w:szCs w:val="21"/>
        </w:rPr>
        <w:t xml:space="preserve">The decision </w:t>
      </w:r>
      <w:r w:rsidR="008C0208">
        <w:rPr>
          <w:sz w:val="21"/>
          <w:szCs w:val="21"/>
        </w:rPr>
        <w:t>about</w:t>
      </w:r>
      <w:r w:rsidR="008C0208" w:rsidRPr="00070AC9">
        <w:rPr>
          <w:sz w:val="21"/>
          <w:szCs w:val="21"/>
        </w:rPr>
        <w:t xml:space="preserve"> </w:t>
      </w:r>
      <w:r w:rsidR="008069C1" w:rsidRPr="00070AC9">
        <w:rPr>
          <w:sz w:val="21"/>
          <w:szCs w:val="21"/>
        </w:rPr>
        <w:t>which second year units contribute to a classification is set by Course Leaders</w:t>
      </w:r>
      <w:r w:rsidR="008C0208">
        <w:rPr>
          <w:sz w:val="21"/>
          <w:szCs w:val="21"/>
        </w:rPr>
        <w:t xml:space="preserve"> and approved as part of the validation process</w:t>
      </w:r>
      <w:r w:rsidR="008069C1" w:rsidRPr="00070AC9">
        <w:rPr>
          <w:sz w:val="21"/>
          <w:szCs w:val="21"/>
        </w:rPr>
        <w:t xml:space="preserve">. </w:t>
      </w:r>
    </w:p>
    <w:p w14:paraId="3A78D12E" w14:textId="77777777" w:rsidR="008069C1" w:rsidRPr="00070AC9" w:rsidRDefault="008069C1" w:rsidP="002C3E32">
      <w:pPr>
        <w:rPr>
          <w:sz w:val="21"/>
          <w:szCs w:val="21"/>
        </w:rPr>
      </w:pPr>
    </w:p>
    <w:p w14:paraId="47FDA448" w14:textId="77777777" w:rsidR="00D03F32" w:rsidRPr="00070AC9" w:rsidRDefault="00D03F32" w:rsidP="002C3E32">
      <w:pPr>
        <w:rPr>
          <w:sz w:val="21"/>
          <w:szCs w:val="21"/>
        </w:rPr>
      </w:pPr>
      <w:r w:rsidRPr="00070AC9">
        <w:rPr>
          <w:sz w:val="21"/>
          <w:szCs w:val="21"/>
        </w:rPr>
        <w:t xml:space="preserve">Students are allowed a first attempt at every assessment, followed by a capped resit should they fail to reach the minimum passing mark (40%). Students </w:t>
      </w:r>
      <w:r w:rsidR="003421F9" w:rsidRPr="00070AC9">
        <w:rPr>
          <w:sz w:val="21"/>
          <w:szCs w:val="21"/>
        </w:rPr>
        <w:t>can exceptionally</w:t>
      </w:r>
      <w:r w:rsidRPr="00070AC9">
        <w:rPr>
          <w:sz w:val="21"/>
          <w:szCs w:val="21"/>
        </w:rPr>
        <w:t xml:space="preserve"> be granted </w:t>
      </w:r>
      <w:r w:rsidR="00E66590" w:rsidRPr="00070AC9">
        <w:rPr>
          <w:sz w:val="21"/>
          <w:szCs w:val="21"/>
        </w:rPr>
        <w:t xml:space="preserve">uncapped second sit, or in rare </w:t>
      </w:r>
      <w:r w:rsidR="003421F9" w:rsidRPr="00070AC9">
        <w:rPr>
          <w:sz w:val="21"/>
          <w:szCs w:val="21"/>
        </w:rPr>
        <w:t>cases,</w:t>
      </w:r>
      <w:r w:rsidR="00E66590" w:rsidRPr="00070AC9">
        <w:rPr>
          <w:sz w:val="21"/>
          <w:szCs w:val="21"/>
        </w:rPr>
        <w:t xml:space="preserve"> a capped or uncapped third sit, as an outcome of a successful application to the School’s Mitigating Circumstances Panel. This is in line with sector norms. </w:t>
      </w:r>
    </w:p>
    <w:p w14:paraId="2D7459B0" w14:textId="36FC78A5" w:rsidR="00E66590" w:rsidRDefault="00E66590" w:rsidP="002C3E32">
      <w:pPr>
        <w:rPr>
          <w:sz w:val="21"/>
          <w:szCs w:val="21"/>
        </w:rPr>
      </w:pPr>
      <w:r w:rsidRPr="00070AC9">
        <w:rPr>
          <w:sz w:val="21"/>
          <w:szCs w:val="21"/>
        </w:rPr>
        <w:t>The final classification of a student’s undergraduate award is determined using the above algorithm at the following thresholds, in line with common practice for English higher education providers:</w:t>
      </w:r>
    </w:p>
    <w:p w14:paraId="0EAD3154" w14:textId="77777777" w:rsidR="00A53A52" w:rsidRDefault="00A53A52" w:rsidP="002C3E32">
      <w:pPr>
        <w:rPr>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3489"/>
        <w:gridCol w:w="3487"/>
      </w:tblGrid>
      <w:tr w:rsidR="00E66590" w:rsidRPr="00070AC9" w14:paraId="743F3D6E" w14:textId="77777777" w:rsidTr="00896D03">
        <w:tc>
          <w:tcPr>
            <w:tcW w:w="1667" w:type="pct"/>
          </w:tcPr>
          <w:p w14:paraId="63A17D04" w14:textId="77777777" w:rsidR="00E66590" w:rsidRPr="00070AC9" w:rsidRDefault="00E66590" w:rsidP="00E66590">
            <w:pPr>
              <w:rPr>
                <w:b/>
                <w:sz w:val="21"/>
                <w:szCs w:val="21"/>
              </w:rPr>
            </w:pPr>
            <w:r w:rsidRPr="00070AC9">
              <w:rPr>
                <w:b/>
                <w:sz w:val="21"/>
                <w:szCs w:val="21"/>
              </w:rPr>
              <w:t>Type of classification</w:t>
            </w:r>
          </w:p>
        </w:tc>
        <w:tc>
          <w:tcPr>
            <w:tcW w:w="1667" w:type="pct"/>
          </w:tcPr>
          <w:p w14:paraId="4545F89D" w14:textId="77777777" w:rsidR="00E66590" w:rsidRPr="00070AC9" w:rsidRDefault="00E66590" w:rsidP="00E66590">
            <w:pPr>
              <w:jc w:val="center"/>
              <w:rPr>
                <w:b/>
                <w:sz w:val="21"/>
                <w:szCs w:val="21"/>
              </w:rPr>
            </w:pPr>
            <w:r w:rsidRPr="00070AC9">
              <w:rPr>
                <w:b/>
                <w:sz w:val="21"/>
                <w:szCs w:val="21"/>
              </w:rPr>
              <w:t>Lower final mark threshold</w:t>
            </w:r>
          </w:p>
        </w:tc>
        <w:tc>
          <w:tcPr>
            <w:tcW w:w="1667" w:type="pct"/>
          </w:tcPr>
          <w:p w14:paraId="285F8A09" w14:textId="77777777" w:rsidR="00E66590" w:rsidRPr="00070AC9" w:rsidRDefault="00E66590" w:rsidP="00E66590">
            <w:pPr>
              <w:jc w:val="center"/>
              <w:rPr>
                <w:b/>
                <w:sz w:val="21"/>
                <w:szCs w:val="21"/>
              </w:rPr>
            </w:pPr>
            <w:r w:rsidRPr="00070AC9">
              <w:rPr>
                <w:b/>
                <w:sz w:val="21"/>
                <w:szCs w:val="21"/>
              </w:rPr>
              <w:t>Upper final mark threshold</w:t>
            </w:r>
          </w:p>
        </w:tc>
      </w:tr>
      <w:tr w:rsidR="00E66590" w:rsidRPr="00070AC9" w14:paraId="02CA09BD" w14:textId="77777777" w:rsidTr="00896D03">
        <w:tc>
          <w:tcPr>
            <w:tcW w:w="1667" w:type="pct"/>
          </w:tcPr>
          <w:p w14:paraId="39248DB6" w14:textId="77777777" w:rsidR="00E66590" w:rsidRPr="00070AC9" w:rsidRDefault="00E66590" w:rsidP="00E66590">
            <w:pPr>
              <w:rPr>
                <w:sz w:val="21"/>
                <w:szCs w:val="21"/>
              </w:rPr>
            </w:pPr>
            <w:r w:rsidRPr="00070AC9">
              <w:rPr>
                <w:sz w:val="21"/>
                <w:szCs w:val="21"/>
              </w:rPr>
              <w:t>First class award</w:t>
            </w:r>
          </w:p>
        </w:tc>
        <w:tc>
          <w:tcPr>
            <w:tcW w:w="1667" w:type="pct"/>
          </w:tcPr>
          <w:p w14:paraId="4A5D568F" w14:textId="77777777" w:rsidR="00E66590" w:rsidRPr="00070AC9" w:rsidRDefault="00E66590" w:rsidP="00E66590">
            <w:pPr>
              <w:jc w:val="center"/>
              <w:rPr>
                <w:sz w:val="21"/>
                <w:szCs w:val="21"/>
              </w:rPr>
            </w:pPr>
            <w:r w:rsidRPr="00070AC9">
              <w:rPr>
                <w:sz w:val="21"/>
                <w:szCs w:val="21"/>
              </w:rPr>
              <w:t>70%</w:t>
            </w:r>
          </w:p>
        </w:tc>
        <w:tc>
          <w:tcPr>
            <w:tcW w:w="1667" w:type="pct"/>
          </w:tcPr>
          <w:p w14:paraId="79CE84D0" w14:textId="77777777" w:rsidR="00E66590" w:rsidRPr="00070AC9" w:rsidRDefault="00E66590" w:rsidP="00E66590">
            <w:pPr>
              <w:jc w:val="center"/>
              <w:rPr>
                <w:sz w:val="21"/>
                <w:szCs w:val="21"/>
              </w:rPr>
            </w:pPr>
            <w:r w:rsidRPr="00070AC9">
              <w:rPr>
                <w:sz w:val="21"/>
                <w:szCs w:val="21"/>
              </w:rPr>
              <w:t>100%</w:t>
            </w:r>
          </w:p>
        </w:tc>
      </w:tr>
      <w:tr w:rsidR="00E66590" w:rsidRPr="00070AC9" w14:paraId="5EA78BBA" w14:textId="77777777" w:rsidTr="00896D03">
        <w:tc>
          <w:tcPr>
            <w:tcW w:w="1667" w:type="pct"/>
          </w:tcPr>
          <w:p w14:paraId="1BE459F9" w14:textId="77777777" w:rsidR="00E66590" w:rsidRPr="00070AC9" w:rsidRDefault="00E66590" w:rsidP="00E66590">
            <w:pPr>
              <w:rPr>
                <w:sz w:val="21"/>
                <w:szCs w:val="21"/>
              </w:rPr>
            </w:pPr>
            <w:r w:rsidRPr="00070AC9">
              <w:rPr>
                <w:sz w:val="21"/>
                <w:szCs w:val="21"/>
              </w:rPr>
              <w:t xml:space="preserve">Upper </w:t>
            </w:r>
            <w:proofErr w:type="gramStart"/>
            <w:r w:rsidRPr="00070AC9">
              <w:rPr>
                <w:sz w:val="21"/>
                <w:szCs w:val="21"/>
              </w:rPr>
              <w:t>second class</w:t>
            </w:r>
            <w:proofErr w:type="gramEnd"/>
            <w:r w:rsidRPr="00070AC9">
              <w:rPr>
                <w:sz w:val="21"/>
                <w:szCs w:val="21"/>
              </w:rPr>
              <w:t xml:space="preserve"> award</w:t>
            </w:r>
          </w:p>
        </w:tc>
        <w:tc>
          <w:tcPr>
            <w:tcW w:w="1667" w:type="pct"/>
          </w:tcPr>
          <w:p w14:paraId="225C75C9" w14:textId="77777777" w:rsidR="00E66590" w:rsidRPr="00070AC9" w:rsidRDefault="00E66590" w:rsidP="00E66590">
            <w:pPr>
              <w:jc w:val="center"/>
              <w:rPr>
                <w:sz w:val="21"/>
                <w:szCs w:val="21"/>
              </w:rPr>
            </w:pPr>
            <w:r w:rsidRPr="00070AC9">
              <w:rPr>
                <w:sz w:val="21"/>
                <w:szCs w:val="21"/>
              </w:rPr>
              <w:t>60%</w:t>
            </w:r>
          </w:p>
        </w:tc>
        <w:tc>
          <w:tcPr>
            <w:tcW w:w="1667" w:type="pct"/>
          </w:tcPr>
          <w:p w14:paraId="501F5FB5" w14:textId="77777777" w:rsidR="00E66590" w:rsidRPr="00070AC9" w:rsidRDefault="00E66590" w:rsidP="00E66590">
            <w:pPr>
              <w:jc w:val="center"/>
              <w:rPr>
                <w:sz w:val="21"/>
                <w:szCs w:val="21"/>
              </w:rPr>
            </w:pPr>
            <w:r w:rsidRPr="00070AC9">
              <w:rPr>
                <w:sz w:val="21"/>
                <w:szCs w:val="21"/>
              </w:rPr>
              <w:t>69.49%</w:t>
            </w:r>
          </w:p>
        </w:tc>
      </w:tr>
      <w:tr w:rsidR="00E66590" w:rsidRPr="00070AC9" w14:paraId="241C1F55" w14:textId="77777777" w:rsidTr="00896D03">
        <w:tc>
          <w:tcPr>
            <w:tcW w:w="1667" w:type="pct"/>
          </w:tcPr>
          <w:p w14:paraId="5CA84AC4" w14:textId="77777777" w:rsidR="00E66590" w:rsidRPr="00070AC9" w:rsidRDefault="00E66590" w:rsidP="00E66590">
            <w:pPr>
              <w:rPr>
                <w:sz w:val="21"/>
                <w:szCs w:val="21"/>
              </w:rPr>
            </w:pPr>
            <w:r w:rsidRPr="00070AC9">
              <w:rPr>
                <w:sz w:val="21"/>
                <w:szCs w:val="21"/>
              </w:rPr>
              <w:t xml:space="preserve">Lower </w:t>
            </w:r>
            <w:proofErr w:type="gramStart"/>
            <w:r w:rsidRPr="00070AC9">
              <w:rPr>
                <w:sz w:val="21"/>
                <w:szCs w:val="21"/>
              </w:rPr>
              <w:t>second class</w:t>
            </w:r>
            <w:proofErr w:type="gramEnd"/>
            <w:r w:rsidRPr="00070AC9">
              <w:rPr>
                <w:sz w:val="21"/>
                <w:szCs w:val="21"/>
              </w:rPr>
              <w:t xml:space="preserve"> award</w:t>
            </w:r>
          </w:p>
        </w:tc>
        <w:tc>
          <w:tcPr>
            <w:tcW w:w="1667" w:type="pct"/>
          </w:tcPr>
          <w:p w14:paraId="3F492622" w14:textId="77777777" w:rsidR="00E66590" w:rsidRPr="00070AC9" w:rsidRDefault="00E66590" w:rsidP="00E66590">
            <w:pPr>
              <w:jc w:val="center"/>
              <w:rPr>
                <w:sz w:val="21"/>
                <w:szCs w:val="21"/>
              </w:rPr>
            </w:pPr>
            <w:r w:rsidRPr="00070AC9">
              <w:rPr>
                <w:sz w:val="21"/>
                <w:szCs w:val="21"/>
              </w:rPr>
              <w:t>50%</w:t>
            </w:r>
          </w:p>
        </w:tc>
        <w:tc>
          <w:tcPr>
            <w:tcW w:w="1667" w:type="pct"/>
          </w:tcPr>
          <w:p w14:paraId="7448B386" w14:textId="77777777" w:rsidR="00E66590" w:rsidRPr="00070AC9" w:rsidRDefault="00E66590" w:rsidP="00E66590">
            <w:pPr>
              <w:jc w:val="center"/>
              <w:rPr>
                <w:sz w:val="21"/>
                <w:szCs w:val="21"/>
              </w:rPr>
            </w:pPr>
            <w:r w:rsidRPr="00070AC9">
              <w:rPr>
                <w:sz w:val="21"/>
                <w:szCs w:val="21"/>
              </w:rPr>
              <w:t>59.49%</w:t>
            </w:r>
          </w:p>
        </w:tc>
      </w:tr>
      <w:tr w:rsidR="00E66590" w:rsidRPr="00070AC9" w14:paraId="3BF20375" w14:textId="77777777" w:rsidTr="00896D03">
        <w:tc>
          <w:tcPr>
            <w:tcW w:w="1667" w:type="pct"/>
          </w:tcPr>
          <w:p w14:paraId="65EAB8E6" w14:textId="77777777" w:rsidR="00E66590" w:rsidRPr="00070AC9" w:rsidRDefault="00E66590" w:rsidP="002C3E32">
            <w:pPr>
              <w:rPr>
                <w:sz w:val="21"/>
                <w:szCs w:val="21"/>
              </w:rPr>
            </w:pPr>
            <w:r w:rsidRPr="00070AC9">
              <w:rPr>
                <w:sz w:val="21"/>
                <w:szCs w:val="21"/>
              </w:rPr>
              <w:t>Third class award</w:t>
            </w:r>
          </w:p>
        </w:tc>
        <w:tc>
          <w:tcPr>
            <w:tcW w:w="1667" w:type="pct"/>
          </w:tcPr>
          <w:p w14:paraId="78C43228" w14:textId="77777777" w:rsidR="00E66590" w:rsidRPr="00070AC9" w:rsidRDefault="00E66590" w:rsidP="00E66590">
            <w:pPr>
              <w:jc w:val="center"/>
              <w:rPr>
                <w:sz w:val="21"/>
                <w:szCs w:val="21"/>
              </w:rPr>
            </w:pPr>
            <w:r w:rsidRPr="00070AC9">
              <w:rPr>
                <w:sz w:val="21"/>
                <w:szCs w:val="21"/>
              </w:rPr>
              <w:t>40%</w:t>
            </w:r>
          </w:p>
        </w:tc>
        <w:tc>
          <w:tcPr>
            <w:tcW w:w="1667" w:type="pct"/>
          </w:tcPr>
          <w:p w14:paraId="19C52A3C" w14:textId="77777777" w:rsidR="00E66590" w:rsidRPr="00070AC9" w:rsidRDefault="00E66590" w:rsidP="00E66590">
            <w:pPr>
              <w:jc w:val="center"/>
              <w:rPr>
                <w:sz w:val="21"/>
                <w:szCs w:val="21"/>
              </w:rPr>
            </w:pPr>
            <w:r w:rsidRPr="00070AC9">
              <w:rPr>
                <w:sz w:val="21"/>
                <w:szCs w:val="21"/>
              </w:rPr>
              <w:t>49.49%</w:t>
            </w:r>
          </w:p>
        </w:tc>
      </w:tr>
      <w:tr w:rsidR="00E66590" w:rsidRPr="00070AC9" w14:paraId="1D32CC8D" w14:textId="77777777" w:rsidTr="00896D03">
        <w:tc>
          <w:tcPr>
            <w:tcW w:w="1667" w:type="pct"/>
          </w:tcPr>
          <w:p w14:paraId="4E7B7A2B" w14:textId="77777777" w:rsidR="00E66590" w:rsidRPr="00070AC9" w:rsidRDefault="00E66590" w:rsidP="00E66590">
            <w:pPr>
              <w:rPr>
                <w:sz w:val="21"/>
                <w:szCs w:val="21"/>
              </w:rPr>
            </w:pPr>
            <w:r w:rsidRPr="00070AC9">
              <w:rPr>
                <w:sz w:val="21"/>
                <w:szCs w:val="21"/>
              </w:rPr>
              <w:t>Pass (non-honours only)</w:t>
            </w:r>
          </w:p>
        </w:tc>
        <w:tc>
          <w:tcPr>
            <w:tcW w:w="1667" w:type="pct"/>
          </w:tcPr>
          <w:p w14:paraId="720A9537" w14:textId="77777777" w:rsidR="00E66590" w:rsidRPr="00070AC9" w:rsidRDefault="00E66590" w:rsidP="00E66590">
            <w:pPr>
              <w:jc w:val="center"/>
              <w:rPr>
                <w:sz w:val="21"/>
                <w:szCs w:val="21"/>
              </w:rPr>
            </w:pPr>
            <w:r w:rsidRPr="00070AC9">
              <w:rPr>
                <w:sz w:val="21"/>
                <w:szCs w:val="21"/>
              </w:rPr>
              <w:t>40%</w:t>
            </w:r>
          </w:p>
        </w:tc>
        <w:tc>
          <w:tcPr>
            <w:tcW w:w="1667" w:type="pct"/>
          </w:tcPr>
          <w:p w14:paraId="1B0B57C4" w14:textId="77777777" w:rsidR="00E66590" w:rsidRPr="00070AC9" w:rsidRDefault="00E66590" w:rsidP="00E66590">
            <w:pPr>
              <w:jc w:val="center"/>
              <w:rPr>
                <w:sz w:val="21"/>
                <w:szCs w:val="21"/>
              </w:rPr>
            </w:pPr>
            <w:r w:rsidRPr="00070AC9">
              <w:rPr>
                <w:sz w:val="21"/>
                <w:szCs w:val="21"/>
              </w:rPr>
              <w:t>100%</w:t>
            </w:r>
          </w:p>
        </w:tc>
      </w:tr>
      <w:tr w:rsidR="00E66590" w:rsidRPr="00070AC9" w14:paraId="622FB7C7" w14:textId="77777777" w:rsidTr="00896D03">
        <w:tc>
          <w:tcPr>
            <w:tcW w:w="1667" w:type="pct"/>
          </w:tcPr>
          <w:p w14:paraId="40DE089A" w14:textId="77777777" w:rsidR="00E66590" w:rsidRPr="00070AC9" w:rsidRDefault="00E66590" w:rsidP="002C3E32">
            <w:pPr>
              <w:rPr>
                <w:sz w:val="21"/>
                <w:szCs w:val="21"/>
              </w:rPr>
            </w:pPr>
            <w:r w:rsidRPr="00070AC9">
              <w:rPr>
                <w:sz w:val="21"/>
                <w:szCs w:val="21"/>
              </w:rPr>
              <w:t>Fail</w:t>
            </w:r>
          </w:p>
        </w:tc>
        <w:tc>
          <w:tcPr>
            <w:tcW w:w="1667" w:type="pct"/>
          </w:tcPr>
          <w:p w14:paraId="20FCCB72" w14:textId="77777777" w:rsidR="00E66590" w:rsidRPr="00070AC9" w:rsidRDefault="00E66590" w:rsidP="00E66590">
            <w:pPr>
              <w:jc w:val="center"/>
              <w:rPr>
                <w:sz w:val="21"/>
                <w:szCs w:val="21"/>
              </w:rPr>
            </w:pPr>
            <w:r w:rsidRPr="00070AC9">
              <w:rPr>
                <w:sz w:val="21"/>
                <w:szCs w:val="21"/>
              </w:rPr>
              <w:t>0%</w:t>
            </w:r>
          </w:p>
        </w:tc>
        <w:tc>
          <w:tcPr>
            <w:tcW w:w="1667" w:type="pct"/>
          </w:tcPr>
          <w:p w14:paraId="1D15A38A" w14:textId="77777777" w:rsidR="00E66590" w:rsidRPr="00070AC9" w:rsidRDefault="00E66590" w:rsidP="00E66590">
            <w:pPr>
              <w:jc w:val="center"/>
              <w:rPr>
                <w:sz w:val="21"/>
                <w:szCs w:val="21"/>
              </w:rPr>
            </w:pPr>
            <w:r w:rsidRPr="00070AC9">
              <w:rPr>
                <w:sz w:val="21"/>
                <w:szCs w:val="21"/>
              </w:rPr>
              <w:t>39.49%</w:t>
            </w:r>
          </w:p>
        </w:tc>
      </w:tr>
    </w:tbl>
    <w:p w14:paraId="5BAA348B" w14:textId="77777777" w:rsidR="00E66590" w:rsidRPr="00070AC9" w:rsidRDefault="00E66590" w:rsidP="002C3E32">
      <w:pPr>
        <w:rPr>
          <w:sz w:val="21"/>
          <w:szCs w:val="21"/>
        </w:rPr>
      </w:pPr>
    </w:p>
    <w:p w14:paraId="2BAE9DE0" w14:textId="14E3B2EC" w:rsidR="00B26D58" w:rsidRPr="00070AC9" w:rsidRDefault="00E66590" w:rsidP="002C3E32">
      <w:pPr>
        <w:rPr>
          <w:sz w:val="21"/>
          <w:szCs w:val="21"/>
        </w:rPr>
      </w:pPr>
      <w:r w:rsidRPr="00070AC9">
        <w:rPr>
          <w:sz w:val="21"/>
          <w:szCs w:val="21"/>
        </w:rPr>
        <w:t xml:space="preserve">All marks, including a student’s final mark, </w:t>
      </w:r>
      <w:r w:rsidR="003421F9" w:rsidRPr="00070AC9">
        <w:rPr>
          <w:sz w:val="21"/>
          <w:szCs w:val="21"/>
        </w:rPr>
        <w:t xml:space="preserve">are automatically uplifted </w:t>
      </w:r>
      <w:r w:rsidRPr="00070AC9">
        <w:rPr>
          <w:sz w:val="21"/>
          <w:szCs w:val="21"/>
        </w:rPr>
        <w:t xml:space="preserve">where a decimalised mean mark results in a </w:t>
      </w:r>
      <w:r w:rsidR="000A0CF9" w:rsidRPr="00070AC9">
        <w:rPr>
          <w:sz w:val="21"/>
          <w:szCs w:val="21"/>
        </w:rPr>
        <w:t xml:space="preserve">mark that includes </w:t>
      </w:r>
      <w:r w:rsidR="0039702B">
        <w:rPr>
          <w:sz w:val="21"/>
          <w:szCs w:val="21"/>
        </w:rPr>
        <w:t>0</w:t>
      </w:r>
      <w:r w:rsidR="000A0CF9" w:rsidRPr="00070AC9">
        <w:rPr>
          <w:sz w:val="21"/>
          <w:szCs w:val="21"/>
        </w:rPr>
        <w:t>.5%</w:t>
      </w:r>
      <w:r w:rsidRPr="00070AC9">
        <w:rPr>
          <w:sz w:val="21"/>
          <w:szCs w:val="21"/>
        </w:rPr>
        <w:t xml:space="preserve"> or above</w:t>
      </w:r>
      <w:r w:rsidR="00035943" w:rsidRPr="00070AC9">
        <w:rPr>
          <w:sz w:val="21"/>
          <w:szCs w:val="21"/>
        </w:rPr>
        <w:t xml:space="preserve"> (</w:t>
      </w:r>
      <w:proofErr w:type="gramStart"/>
      <w:r w:rsidR="00035943" w:rsidRPr="00070AC9">
        <w:rPr>
          <w:sz w:val="21"/>
          <w:szCs w:val="21"/>
        </w:rPr>
        <w:t>e.g.</w:t>
      </w:r>
      <w:proofErr w:type="gramEnd"/>
      <w:r w:rsidR="00035943" w:rsidRPr="00070AC9">
        <w:rPr>
          <w:sz w:val="21"/>
          <w:szCs w:val="21"/>
        </w:rPr>
        <w:t xml:space="preserve"> 59.7%)</w:t>
      </w:r>
      <w:r w:rsidRPr="00070AC9">
        <w:rPr>
          <w:sz w:val="21"/>
          <w:szCs w:val="21"/>
        </w:rPr>
        <w:t xml:space="preserve">. </w:t>
      </w:r>
      <w:r w:rsidR="00315E7B" w:rsidRPr="00070AC9">
        <w:rPr>
          <w:sz w:val="21"/>
          <w:szCs w:val="21"/>
        </w:rPr>
        <w:t xml:space="preserve">Our </w:t>
      </w:r>
      <w:r w:rsidR="00035943" w:rsidRPr="00070AC9">
        <w:rPr>
          <w:sz w:val="21"/>
          <w:szCs w:val="21"/>
        </w:rPr>
        <w:t xml:space="preserve">published </w:t>
      </w:r>
      <w:hyperlink r:id="rId13" w:history="1">
        <w:r w:rsidR="00315E7B" w:rsidRPr="00070AC9">
          <w:rPr>
            <w:rStyle w:val="Hyperlink"/>
            <w:sz w:val="21"/>
            <w:szCs w:val="21"/>
          </w:rPr>
          <w:t>academic regulations</w:t>
        </w:r>
      </w:hyperlink>
      <w:r w:rsidR="00315E7B" w:rsidRPr="00070AC9">
        <w:rPr>
          <w:sz w:val="21"/>
          <w:szCs w:val="21"/>
        </w:rPr>
        <w:t xml:space="preserve"> make provision for </w:t>
      </w:r>
      <w:r w:rsidR="00035943" w:rsidRPr="00070AC9">
        <w:rPr>
          <w:sz w:val="21"/>
          <w:szCs w:val="21"/>
        </w:rPr>
        <w:t xml:space="preserve">consideration of a classification </w:t>
      </w:r>
      <w:r w:rsidR="000A0CF9">
        <w:rPr>
          <w:sz w:val="21"/>
          <w:szCs w:val="21"/>
        </w:rPr>
        <w:t xml:space="preserve">where an overall mark is </w:t>
      </w:r>
      <w:r w:rsidR="00035943" w:rsidRPr="00070AC9">
        <w:rPr>
          <w:sz w:val="21"/>
          <w:szCs w:val="21"/>
        </w:rPr>
        <w:t xml:space="preserve">2% or less below a classification band where an application for mitigating circumstances has been successful. The Examination Board may currently make decisions outside of this process, including for students without mitigating circumstances, where students are similarly close to a classification band, but any such decision must be made with the </w:t>
      </w:r>
      <w:r w:rsidR="00FA1AAF" w:rsidRPr="00070AC9">
        <w:rPr>
          <w:sz w:val="21"/>
          <w:szCs w:val="21"/>
        </w:rPr>
        <w:t xml:space="preserve">express </w:t>
      </w:r>
      <w:r w:rsidR="00035943" w:rsidRPr="00070AC9">
        <w:rPr>
          <w:sz w:val="21"/>
          <w:szCs w:val="21"/>
        </w:rPr>
        <w:t xml:space="preserve">support of an external examiner. </w:t>
      </w:r>
    </w:p>
    <w:p w14:paraId="64EB6AFF" w14:textId="77777777" w:rsidR="00E66590" w:rsidRPr="00070AC9" w:rsidRDefault="00E66590" w:rsidP="002C3E32">
      <w:pPr>
        <w:rPr>
          <w:b/>
          <w:sz w:val="21"/>
          <w:szCs w:val="21"/>
        </w:rPr>
      </w:pPr>
    </w:p>
    <w:p w14:paraId="3674A38F" w14:textId="77777777" w:rsidR="002C3E32" w:rsidRPr="00070AC9" w:rsidRDefault="002C3E32" w:rsidP="002C3E32">
      <w:pPr>
        <w:rPr>
          <w:b/>
          <w:sz w:val="21"/>
          <w:szCs w:val="21"/>
        </w:rPr>
      </w:pPr>
      <w:r w:rsidRPr="00070AC9">
        <w:rPr>
          <w:b/>
          <w:sz w:val="21"/>
          <w:szCs w:val="21"/>
        </w:rPr>
        <w:t>5</w:t>
      </w:r>
      <w:r w:rsidRPr="00070AC9">
        <w:rPr>
          <w:b/>
          <w:sz w:val="21"/>
          <w:szCs w:val="21"/>
        </w:rPr>
        <w:tab/>
      </w:r>
      <w:r w:rsidRPr="00070AC9">
        <w:rPr>
          <w:b/>
          <w:sz w:val="21"/>
          <w:szCs w:val="21"/>
        </w:rPr>
        <w:tab/>
        <w:t>Teaching practices and learning resources</w:t>
      </w:r>
    </w:p>
    <w:p w14:paraId="33B38682" w14:textId="77777777" w:rsidR="002C3E32" w:rsidRPr="00070AC9" w:rsidRDefault="002C3E32" w:rsidP="002C3E32">
      <w:pPr>
        <w:rPr>
          <w:sz w:val="21"/>
          <w:szCs w:val="21"/>
        </w:rPr>
      </w:pPr>
    </w:p>
    <w:p w14:paraId="093BEFBD" w14:textId="254A1FC3" w:rsidR="00B50312" w:rsidRDefault="00BF1EDE" w:rsidP="002C3E32">
      <w:pPr>
        <w:rPr>
          <w:sz w:val="21"/>
          <w:szCs w:val="21"/>
        </w:rPr>
      </w:pPr>
      <w:r w:rsidRPr="00070AC9">
        <w:rPr>
          <w:sz w:val="21"/>
          <w:szCs w:val="21"/>
        </w:rPr>
        <w:t xml:space="preserve">Three </w:t>
      </w:r>
      <w:r w:rsidR="004714F6" w:rsidRPr="00070AC9">
        <w:rPr>
          <w:sz w:val="21"/>
          <w:szCs w:val="21"/>
        </w:rPr>
        <w:t xml:space="preserve">key </w:t>
      </w:r>
      <w:r w:rsidRPr="00070AC9">
        <w:rPr>
          <w:sz w:val="21"/>
          <w:szCs w:val="21"/>
        </w:rPr>
        <w:t xml:space="preserve">enhancements </w:t>
      </w:r>
      <w:r w:rsidR="004714F6" w:rsidRPr="00070AC9">
        <w:rPr>
          <w:sz w:val="21"/>
          <w:szCs w:val="21"/>
        </w:rPr>
        <w:t xml:space="preserve">have </w:t>
      </w:r>
      <w:r w:rsidR="00070AC9">
        <w:rPr>
          <w:sz w:val="21"/>
          <w:szCs w:val="21"/>
        </w:rPr>
        <w:t xml:space="preserve">benefitted </w:t>
      </w:r>
      <w:r w:rsidRPr="00070AC9">
        <w:rPr>
          <w:sz w:val="21"/>
          <w:szCs w:val="21"/>
        </w:rPr>
        <w:t>our teaching practices</w:t>
      </w:r>
      <w:r w:rsidR="00070AC9">
        <w:rPr>
          <w:sz w:val="21"/>
          <w:szCs w:val="21"/>
        </w:rPr>
        <w:t xml:space="preserve"> and learning resources:</w:t>
      </w:r>
    </w:p>
    <w:p w14:paraId="27B130D1" w14:textId="77777777" w:rsidR="00A53A52" w:rsidRDefault="00A53A52" w:rsidP="002C3E32">
      <w:pPr>
        <w:rPr>
          <w:sz w:val="21"/>
          <w:szCs w:val="21"/>
        </w:rPr>
      </w:pPr>
    </w:p>
    <w:p w14:paraId="5FEECA6E" w14:textId="70455799" w:rsidR="00BF1EDE" w:rsidRPr="00070AC9" w:rsidRDefault="00BF1EDE" w:rsidP="001A1ED7">
      <w:pPr>
        <w:pStyle w:val="ListParagraph"/>
        <w:numPr>
          <w:ilvl w:val="0"/>
          <w:numId w:val="3"/>
        </w:numPr>
        <w:rPr>
          <w:sz w:val="21"/>
          <w:szCs w:val="21"/>
        </w:rPr>
      </w:pPr>
      <w:r w:rsidRPr="00070AC9">
        <w:rPr>
          <w:sz w:val="21"/>
          <w:szCs w:val="21"/>
        </w:rPr>
        <w:t xml:space="preserve">An increase in the number of academic staff </w:t>
      </w:r>
      <w:r w:rsidR="00E75BC4" w:rsidRPr="00070AC9">
        <w:rPr>
          <w:sz w:val="21"/>
          <w:szCs w:val="21"/>
        </w:rPr>
        <w:t xml:space="preserve">and technical support staff </w:t>
      </w:r>
      <w:r w:rsidRPr="00070AC9">
        <w:rPr>
          <w:sz w:val="21"/>
          <w:szCs w:val="21"/>
        </w:rPr>
        <w:t>with an acc</w:t>
      </w:r>
      <w:r w:rsidR="00E75BC4" w:rsidRPr="00070AC9">
        <w:rPr>
          <w:sz w:val="21"/>
          <w:szCs w:val="21"/>
        </w:rPr>
        <w:t>redited teaching qualification</w:t>
      </w:r>
      <w:r w:rsidR="00767262" w:rsidRPr="00070AC9">
        <w:rPr>
          <w:sz w:val="21"/>
          <w:szCs w:val="21"/>
        </w:rPr>
        <w:t xml:space="preserve"> (including the successful recognition of </w:t>
      </w:r>
      <w:r w:rsidR="00EB69B0">
        <w:rPr>
          <w:sz w:val="21"/>
          <w:szCs w:val="21"/>
        </w:rPr>
        <w:t>two</w:t>
      </w:r>
      <w:r w:rsidR="00EB69B0" w:rsidRPr="00070AC9">
        <w:rPr>
          <w:sz w:val="21"/>
          <w:szCs w:val="21"/>
        </w:rPr>
        <w:t xml:space="preserve"> </w:t>
      </w:r>
      <w:r w:rsidR="00767262" w:rsidRPr="00070AC9">
        <w:rPr>
          <w:sz w:val="21"/>
          <w:szCs w:val="21"/>
        </w:rPr>
        <w:t>members of staff as National Teaching Fellows</w:t>
      </w:r>
      <w:r w:rsidR="00EB69B0">
        <w:rPr>
          <w:sz w:val="21"/>
          <w:szCs w:val="21"/>
        </w:rPr>
        <w:t xml:space="preserve"> in successive years</w:t>
      </w:r>
      <w:proofErr w:type="gramStart"/>
      <w:r w:rsidR="00767262" w:rsidRPr="00070AC9">
        <w:rPr>
          <w:sz w:val="21"/>
          <w:szCs w:val="21"/>
        </w:rPr>
        <w:t>)</w:t>
      </w:r>
      <w:r w:rsidR="00E75BC4" w:rsidRPr="00070AC9">
        <w:rPr>
          <w:sz w:val="21"/>
          <w:szCs w:val="21"/>
        </w:rPr>
        <w:t>;</w:t>
      </w:r>
      <w:proofErr w:type="gramEnd"/>
    </w:p>
    <w:p w14:paraId="66D8BE9E" w14:textId="7E53D4AF" w:rsidR="00BF1EDE" w:rsidRPr="00C257EF" w:rsidRDefault="00E75BC4" w:rsidP="001A1ED7">
      <w:pPr>
        <w:pStyle w:val="ListParagraph"/>
        <w:numPr>
          <w:ilvl w:val="0"/>
          <w:numId w:val="3"/>
        </w:numPr>
        <w:rPr>
          <w:sz w:val="21"/>
          <w:szCs w:val="21"/>
        </w:rPr>
      </w:pPr>
      <w:r w:rsidRPr="00C257EF">
        <w:rPr>
          <w:sz w:val="21"/>
          <w:szCs w:val="21"/>
        </w:rPr>
        <w:t xml:space="preserve">An increase in the provision of support </w:t>
      </w:r>
      <w:r w:rsidR="000D3146" w:rsidRPr="00C257EF">
        <w:rPr>
          <w:sz w:val="21"/>
          <w:szCs w:val="21"/>
        </w:rPr>
        <w:t xml:space="preserve">and adjustments </w:t>
      </w:r>
      <w:r w:rsidRPr="00C257EF">
        <w:rPr>
          <w:sz w:val="21"/>
          <w:szCs w:val="21"/>
        </w:rPr>
        <w:t>for stu</w:t>
      </w:r>
      <w:r w:rsidR="00767262" w:rsidRPr="00C257EF">
        <w:rPr>
          <w:sz w:val="21"/>
          <w:szCs w:val="21"/>
        </w:rPr>
        <w:t>dent</w:t>
      </w:r>
      <w:r w:rsidR="0039702B" w:rsidRPr="00C257EF">
        <w:rPr>
          <w:sz w:val="21"/>
          <w:szCs w:val="21"/>
        </w:rPr>
        <w:t>s</w:t>
      </w:r>
      <w:r w:rsidR="00767262" w:rsidRPr="00C257EF">
        <w:rPr>
          <w:sz w:val="21"/>
          <w:szCs w:val="21"/>
        </w:rPr>
        <w:t xml:space="preserve"> </w:t>
      </w:r>
      <w:r w:rsidRPr="00C257EF">
        <w:rPr>
          <w:sz w:val="21"/>
          <w:szCs w:val="21"/>
        </w:rPr>
        <w:t>with learning differences, disabilities and mental health needs</w:t>
      </w:r>
      <w:r w:rsidR="00C37B59" w:rsidRPr="00C257EF">
        <w:rPr>
          <w:sz w:val="21"/>
          <w:szCs w:val="21"/>
        </w:rPr>
        <w:t xml:space="preserve"> as well as care </w:t>
      </w:r>
      <w:proofErr w:type="gramStart"/>
      <w:r w:rsidR="00C37B59" w:rsidRPr="00C257EF">
        <w:rPr>
          <w:sz w:val="21"/>
          <w:szCs w:val="21"/>
        </w:rPr>
        <w:t>leavers</w:t>
      </w:r>
      <w:r w:rsidRPr="00C257EF">
        <w:rPr>
          <w:sz w:val="21"/>
          <w:szCs w:val="21"/>
        </w:rPr>
        <w:t>;</w:t>
      </w:r>
      <w:proofErr w:type="gramEnd"/>
    </w:p>
    <w:p w14:paraId="24159961" w14:textId="442528D5" w:rsidR="001A1ED7" w:rsidRPr="00070AC9" w:rsidRDefault="00FE3C07" w:rsidP="001A1ED7">
      <w:pPr>
        <w:pStyle w:val="ListParagraph"/>
        <w:numPr>
          <w:ilvl w:val="0"/>
          <w:numId w:val="3"/>
        </w:numPr>
        <w:rPr>
          <w:sz w:val="21"/>
          <w:szCs w:val="21"/>
        </w:rPr>
      </w:pPr>
      <w:r>
        <w:rPr>
          <w:sz w:val="21"/>
          <w:szCs w:val="21"/>
        </w:rPr>
        <w:t>Introducing more flexible methods of submission</w:t>
      </w:r>
      <w:r w:rsidR="006D40F6">
        <w:rPr>
          <w:sz w:val="21"/>
          <w:szCs w:val="21"/>
        </w:rPr>
        <w:t xml:space="preserve"> and feedback</w:t>
      </w:r>
      <w:r>
        <w:rPr>
          <w:sz w:val="21"/>
          <w:szCs w:val="21"/>
        </w:rPr>
        <w:t xml:space="preserve"> for students, such as: visual essays, major projects being a mixture of </w:t>
      </w:r>
      <w:r w:rsidR="006D40F6">
        <w:rPr>
          <w:sz w:val="21"/>
          <w:szCs w:val="21"/>
        </w:rPr>
        <w:t>‘</w:t>
      </w:r>
      <w:proofErr w:type="gramStart"/>
      <w:r>
        <w:rPr>
          <w:sz w:val="21"/>
          <w:szCs w:val="21"/>
        </w:rPr>
        <w:t>artefacts</w:t>
      </w:r>
      <w:r w:rsidR="006D40F6">
        <w:rPr>
          <w:sz w:val="21"/>
          <w:szCs w:val="21"/>
        </w:rPr>
        <w:t>’</w:t>
      </w:r>
      <w:proofErr w:type="gramEnd"/>
      <w:r w:rsidR="006D40F6">
        <w:rPr>
          <w:sz w:val="21"/>
          <w:szCs w:val="21"/>
        </w:rPr>
        <w:t xml:space="preserve"> or documentation of practice</w:t>
      </w:r>
      <w:r>
        <w:rPr>
          <w:sz w:val="21"/>
          <w:szCs w:val="21"/>
        </w:rPr>
        <w:t xml:space="preserve"> and writing, </w:t>
      </w:r>
      <w:r w:rsidR="006D40F6">
        <w:rPr>
          <w:sz w:val="21"/>
          <w:szCs w:val="21"/>
        </w:rPr>
        <w:t>and formalising oral (and recorded) student feedback</w:t>
      </w:r>
      <w:r w:rsidR="00AE008B">
        <w:rPr>
          <w:sz w:val="21"/>
          <w:szCs w:val="21"/>
        </w:rPr>
        <w:t xml:space="preserve"> to more closely align with creative arts practice</w:t>
      </w:r>
      <w:r w:rsidR="006D40F6">
        <w:rPr>
          <w:sz w:val="21"/>
          <w:szCs w:val="21"/>
        </w:rPr>
        <w:t xml:space="preserve">. </w:t>
      </w:r>
    </w:p>
    <w:p w14:paraId="6BA9D9E1" w14:textId="77777777" w:rsidR="00B50312" w:rsidRPr="00070AC9" w:rsidRDefault="00B50312" w:rsidP="002C3E32">
      <w:pPr>
        <w:rPr>
          <w:sz w:val="21"/>
          <w:szCs w:val="21"/>
        </w:rPr>
      </w:pPr>
    </w:p>
    <w:p w14:paraId="6E187D0E" w14:textId="77777777" w:rsidR="002C3E32" w:rsidRPr="00070AC9" w:rsidRDefault="002C3E32" w:rsidP="002C3E32">
      <w:pPr>
        <w:rPr>
          <w:b/>
          <w:sz w:val="21"/>
          <w:szCs w:val="21"/>
        </w:rPr>
      </w:pPr>
      <w:r w:rsidRPr="00070AC9">
        <w:rPr>
          <w:b/>
          <w:sz w:val="21"/>
          <w:szCs w:val="21"/>
        </w:rPr>
        <w:t>6</w:t>
      </w:r>
      <w:r w:rsidRPr="00070AC9">
        <w:rPr>
          <w:b/>
          <w:sz w:val="21"/>
          <w:szCs w:val="21"/>
        </w:rPr>
        <w:tab/>
      </w:r>
      <w:r w:rsidRPr="00070AC9">
        <w:rPr>
          <w:b/>
          <w:sz w:val="21"/>
          <w:szCs w:val="21"/>
        </w:rPr>
        <w:tab/>
        <w:t>Identifying good practice and actions</w:t>
      </w:r>
    </w:p>
    <w:p w14:paraId="3C8266B7" w14:textId="77777777" w:rsidR="002C3E32" w:rsidRPr="00070AC9" w:rsidRDefault="002C3E32" w:rsidP="002C3E32">
      <w:pPr>
        <w:rPr>
          <w:b/>
          <w:sz w:val="21"/>
          <w:szCs w:val="21"/>
        </w:rPr>
      </w:pPr>
    </w:p>
    <w:p w14:paraId="71AB5238" w14:textId="77777777" w:rsidR="00076EB5" w:rsidRPr="00070AC9" w:rsidRDefault="00C37B59" w:rsidP="002C3E32">
      <w:pPr>
        <w:rPr>
          <w:sz w:val="21"/>
          <w:szCs w:val="21"/>
        </w:rPr>
      </w:pPr>
      <w:r w:rsidRPr="00070AC9">
        <w:rPr>
          <w:sz w:val="21"/>
          <w:szCs w:val="21"/>
        </w:rPr>
        <w:t>External examiners in their reports have commended the School’s approaches to double markin</w:t>
      </w:r>
      <w:r w:rsidR="00070AC9" w:rsidRPr="00070AC9">
        <w:rPr>
          <w:sz w:val="21"/>
          <w:szCs w:val="21"/>
        </w:rPr>
        <w:t xml:space="preserve">g and moderation, </w:t>
      </w:r>
      <w:r w:rsidRPr="00070AC9">
        <w:rPr>
          <w:sz w:val="21"/>
          <w:szCs w:val="21"/>
        </w:rPr>
        <w:t>t</w:t>
      </w:r>
      <w:r w:rsidR="00070AC9" w:rsidRPr="00070AC9">
        <w:rPr>
          <w:sz w:val="21"/>
          <w:szCs w:val="21"/>
        </w:rPr>
        <w:t>he quality of student feedback, as well as the consideration given to individual students through Examination Board processes.</w:t>
      </w:r>
    </w:p>
    <w:p w14:paraId="547E2315" w14:textId="77777777" w:rsidR="00070AC9" w:rsidRPr="00070AC9" w:rsidRDefault="00070AC9" w:rsidP="002C3E32">
      <w:pPr>
        <w:rPr>
          <w:sz w:val="21"/>
          <w:szCs w:val="21"/>
        </w:rPr>
      </w:pPr>
    </w:p>
    <w:p w14:paraId="0614B679" w14:textId="53AA8583" w:rsidR="00070AC9" w:rsidRDefault="005C44A1" w:rsidP="002C3E32">
      <w:pPr>
        <w:rPr>
          <w:sz w:val="21"/>
          <w:szCs w:val="21"/>
        </w:rPr>
      </w:pPr>
      <w:r w:rsidRPr="00070AC9">
        <w:rPr>
          <w:sz w:val="21"/>
          <w:szCs w:val="21"/>
        </w:rPr>
        <w:t>We are undertaking two key actions</w:t>
      </w:r>
      <w:r w:rsidR="00070AC9" w:rsidRPr="00070AC9">
        <w:rPr>
          <w:sz w:val="21"/>
          <w:szCs w:val="21"/>
        </w:rPr>
        <w:t xml:space="preserve"> </w:t>
      </w:r>
      <w:r w:rsidR="001444B3">
        <w:rPr>
          <w:sz w:val="21"/>
          <w:szCs w:val="21"/>
        </w:rPr>
        <w:t>this academic year</w:t>
      </w:r>
      <w:r w:rsidR="00070AC9" w:rsidRPr="00070AC9">
        <w:rPr>
          <w:sz w:val="21"/>
          <w:szCs w:val="21"/>
        </w:rPr>
        <w:t xml:space="preserve">: </w:t>
      </w:r>
    </w:p>
    <w:p w14:paraId="4FD0C649" w14:textId="77777777" w:rsidR="00A53A52" w:rsidRDefault="00A53A52" w:rsidP="002C3E32">
      <w:pPr>
        <w:rPr>
          <w:sz w:val="21"/>
          <w:szCs w:val="21"/>
        </w:rPr>
      </w:pPr>
    </w:p>
    <w:p w14:paraId="62566917" w14:textId="77777777" w:rsidR="00076EB5" w:rsidRPr="00DC148E" w:rsidRDefault="000D3146" w:rsidP="000D3146">
      <w:pPr>
        <w:pStyle w:val="ListParagraph"/>
        <w:numPr>
          <w:ilvl w:val="0"/>
          <w:numId w:val="5"/>
        </w:numPr>
        <w:rPr>
          <w:b/>
          <w:sz w:val="21"/>
          <w:szCs w:val="21"/>
        </w:rPr>
      </w:pPr>
      <w:r>
        <w:rPr>
          <w:sz w:val="21"/>
          <w:szCs w:val="21"/>
        </w:rPr>
        <w:t xml:space="preserve">Analysis of student </w:t>
      </w:r>
      <w:r w:rsidR="001444B3">
        <w:rPr>
          <w:sz w:val="21"/>
          <w:szCs w:val="21"/>
        </w:rPr>
        <w:t xml:space="preserve">outcomes at the level of course, unit and assessment to consider potential </w:t>
      </w:r>
      <w:r w:rsidR="005C44A1">
        <w:rPr>
          <w:sz w:val="21"/>
          <w:szCs w:val="21"/>
        </w:rPr>
        <w:t xml:space="preserve">causes of differential </w:t>
      </w:r>
      <w:proofErr w:type="gramStart"/>
      <w:r w:rsidR="005C44A1">
        <w:rPr>
          <w:sz w:val="21"/>
          <w:szCs w:val="21"/>
        </w:rPr>
        <w:t>attainment;</w:t>
      </w:r>
      <w:proofErr w:type="gramEnd"/>
    </w:p>
    <w:p w14:paraId="280A8BF2" w14:textId="77777777" w:rsidR="00DC148E" w:rsidRPr="00DC148E" w:rsidRDefault="00DC148E" w:rsidP="000D3146">
      <w:pPr>
        <w:pStyle w:val="ListParagraph"/>
        <w:numPr>
          <w:ilvl w:val="0"/>
          <w:numId w:val="5"/>
        </w:numPr>
        <w:rPr>
          <w:sz w:val="21"/>
          <w:szCs w:val="21"/>
        </w:rPr>
      </w:pPr>
      <w:r w:rsidRPr="00DC148E">
        <w:rPr>
          <w:sz w:val="21"/>
          <w:szCs w:val="21"/>
        </w:rPr>
        <w:t>Finalising</w:t>
      </w:r>
      <w:r>
        <w:rPr>
          <w:sz w:val="21"/>
          <w:szCs w:val="21"/>
        </w:rPr>
        <w:t xml:space="preserve"> the development of </w:t>
      </w:r>
      <w:r w:rsidR="005C44A1">
        <w:rPr>
          <w:sz w:val="21"/>
          <w:szCs w:val="21"/>
        </w:rPr>
        <w:t>revised assessment criteria and marking descriptors (at 10% intervals from 0% to 100%) which have already been scrutinised by exter</w:t>
      </w:r>
      <w:r w:rsidR="00BE2C27">
        <w:rPr>
          <w:sz w:val="21"/>
          <w:szCs w:val="21"/>
        </w:rPr>
        <w:t>nal examiners for introduction in 2020/21.</w:t>
      </w:r>
    </w:p>
    <w:p w14:paraId="37A78EAB" w14:textId="77777777" w:rsidR="000D3146" w:rsidRPr="00070AC9" w:rsidRDefault="000D3146" w:rsidP="002C3E32">
      <w:pPr>
        <w:rPr>
          <w:b/>
          <w:sz w:val="21"/>
          <w:szCs w:val="21"/>
        </w:rPr>
      </w:pPr>
    </w:p>
    <w:p w14:paraId="32190219" w14:textId="77777777" w:rsidR="002C3E32" w:rsidRPr="00070AC9" w:rsidRDefault="002C3E32" w:rsidP="002C3E32">
      <w:pPr>
        <w:rPr>
          <w:sz w:val="21"/>
          <w:szCs w:val="21"/>
        </w:rPr>
      </w:pPr>
      <w:r w:rsidRPr="00070AC9">
        <w:rPr>
          <w:b/>
          <w:sz w:val="21"/>
          <w:szCs w:val="21"/>
        </w:rPr>
        <w:t>7</w:t>
      </w:r>
      <w:r w:rsidRPr="00070AC9">
        <w:rPr>
          <w:b/>
          <w:sz w:val="21"/>
          <w:szCs w:val="21"/>
        </w:rPr>
        <w:tab/>
      </w:r>
      <w:r w:rsidRPr="00070AC9">
        <w:rPr>
          <w:b/>
          <w:sz w:val="21"/>
          <w:szCs w:val="21"/>
        </w:rPr>
        <w:tab/>
      </w:r>
      <w:r w:rsidR="00E7704E" w:rsidRPr="00070AC9">
        <w:rPr>
          <w:b/>
          <w:sz w:val="21"/>
          <w:szCs w:val="21"/>
        </w:rPr>
        <w:t>Risks and challenges</w:t>
      </w:r>
    </w:p>
    <w:p w14:paraId="047259F8" w14:textId="77777777" w:rsidR="00076EB5" w:rsidRPr="00070AC9" w:rsidRDefault="00076EB5" w:rsidP="002C3E32">
      <w:pPr>
        <w:rPr>
          <w:sz w:val="21"/>
          <w:szCs w:val="21"/>
        </w:rPr>
      </w:pPr>
    </w:p>
    <w:p w14:paraId="31F22D40" w14:textId="15B3F8EE" w:rsidR="00076EB5" w:rsidRPr="00070AC9" w:rsidRDefault="007F55B8" w:rsidP="002C3E32">
      <w:pPr>
        <w:rPr>
          <w:sz w:val="21"/>
          <w:szCs w:val="21"/>
        </w:rPr>
      </w:pPr>
      <w:r>
        <w:rPr>
          <w:sz w:val="21"/>
          <w:szCs w:val="21"/>
        </w:rPr>
        <w:t>As a highly selecting specialist drama conservatoire, a</w:t>
      </w:r>
      <w:r w:rsidRPr="00070AC9">
        <w:rPr>
          <w:sz w:val="21"/>
          <w:szCs w:val="21"/>
        </w:rPr>
        <w:t xml:space="preserve"> </w:t>
      </w:r>
      <w:r w:rsidR="00076EB5" w:rsidRPr="00070AC9">
        <w:rPr>
          <w:sz w:val="21"/>
          <w:szCs w:val="21"/>
        </w:rPr>
        <w:t xml:space="preserve">current risk to the outcomes of our students is the reduced presence of the arts more broadly within the secondary education curriculum. </w:t>
      </w:r>
      <w:r w:rsidR="008F728E">
        <w:rPr>
          <w:sz w:val="21"/>
          <w:szCs w:val="21"/>
        </w:rPr>
        <w:t xml:space="preserve">The School’s </w:t>
      </w:r>
      <w:r w:rsidR="00187EB8" w:rsidRPr="00070AC9">
        <w:rPr>
          <w:sz w:val="21"/>
          <w:szCs w:val="21"/>
        </w:rPr>
        <w:t xml:space="preserve">admissions processes </w:t>
      </w:r>
      <w:r w:rsidR="008F728E">
        <w:rPr>
          <w:sz w:val="21"/>
          <w:szCs w:val="21"/>
        </w:rPr>
        <w:t>and activities</w:t>
      </w:r>
      <w:r w:rsidR="003F4E8F">
        <w:rPr>
          <w:sz w:val="21"/>
          <w:szCs w:val="21"/>
        </w:rPr>
        <w:t xml:space="preserve">, </w:t>
      </w:r>
      <w:r w:rsidR="003B2F7E">
        <w:rPr>
          <w:sz w:val="21"/>
          <w:szCs w:val="21"/>
        </w:rPr>
        <w:t xml:space="preserve">including </w:t>
      </w:r>
      <w:r w:rsidR="003F4E8F">
        <w:rPr>
          <w:sz w:val="21"/>
          <w:szCs w:val="21"/>
        </w:rPr>
        <w:t>work around the country in areas of traditionally low higher education participation,</w:t>
      </w:r>
      <w:r w:rsidR="008F728E">
        <w:rPr>
          <w:sz w:val="21"/>
          <w:szCs w:val="21"/>
        </w:rPr>
        <w:t xml:space="preserve"> </w:t>
      </w:r>
      <w:r w:rsidR="003B2F7E">
        <w:rPr>
          <w:sz w:val="21"/>
          <w:szCs w:val="21"/>
        </w:rPr>
        <w:t xml:space="preserve">utilise </w:t>
      </w:r>
      <w:r w:rsidR="00187EB8" w:rsidRPr="00070AC9">
        <w:rPr>
          <w:sz w:val="21"/>
          <w:szCs w:val="21"/>
        </w:rPr>
        <w:t>auditions and interviews as a mechanism to identify prospective students with the potential to</w:t>
      </w:r>
      <w:r w:rsidR="004A36AB" w:rsidRPr="00070AC9">
        <w:rPr>
          <w:sz w:val="21"/>
          <w:szCs w:val="21"/>
        </w:rPr>
        <w:t xml:space="preserve"> </w:t>
      </w:r>
      <w:r w:rsidR="003B2F7E">
        <w:rPr>
          <w:sz w:val="21"/>
          <w:szCs w:val="21"/>
        </w:rPr>
        <w:t xml:space="preserve">succeed in their chosen </w:t>
      </w:r>
      <w:r w:rsidR="004A36AB" w:rsidRPr="00070AC9">
        <w:rPr>
          <w:sz w:val="21"/>
          <w:szCs w:val="21"/>
        </w:rPr>
        <w:t>programme of study</w:t>
      </w:r>
      <w:r w:rsidR="003B2F7E">
        <w:rPr>
          <w:sz w:val="21"/>
          <w:szCs w:val="21"/>
        </w:rPr>
        <w:t>.</w:t>
      </w:r>
      <w:r w:rsidR="004A36AB" w:rsidRPr="00070AC9">
        <w:rPr>
          <w:sz w:val="21"/>
          <w:szCs w:val="21"/>
        </w:rPr>
        <w:t xml:space="preserve"> </w:t>
      </w:r>
      <w:r w:rsidR="003B2F7E">
        <w:rPr>
          <w:sz w:val="21"/>
          <w:szCs w:val="21"/>
        </w:rPr>
        <w:t>Of</w:t>
      </w:r>
      <w:r w:rsidR="004A36AB" w:rsidRPr="00070AC9">
        <w:rPr>
          <w:sz w:val="21"/>
          <w:szCs w:val="21"/>
        </w:rPr>
        <w:t>ten</w:t>
      </w:r>
      <w:r w:rsidR="003B2F7E">
        <w:rPr>
          <w:sz w:val="21"/>
          <w:szCs w:val="21"/>
        </w:rPr>
        <w:t>,</w:t>
      </w:r>
      <w:r w:rsidR="004A36AB" w:rsidRPr="00070AC9">
        <w:rPr>
          <w:sz w:val="21"/>
          <w:szCs w:val="21"/>
        </w:rPr>
        <w:t xml:space="preserve"> the skills and attributes we identify have been developed through engagement in drama and related subjects during this pivotal stage in their educational (and personal) development. </w:t>
      </w:r>
    </w:p>
    <w:sectPr w:rsidR="00076EB5" w:rsidRPr="00070AC9" w:rsidSect="006621F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D4D0" w14:textId="77777777" w:rsidR="002540F2" w:rsidRDefault="002540F2" w:rsidP="000348CE">
      <w:r>
        <w:separator/>
      </w:r>
    </w:p>
  </w:endnote>
  <w:endnote w:type="continuationSeparator" w:id="0">
    <w:p w14:paraId="76B71305" w14:textId="77777777" w:rsidR="002540F2" w:rsidRDefault="002540F2" w:rsidP="0003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E236" w14:textId="77777777" w:rsidR="002540F2" w:rsidRDefault="002540F2" w:rsidP="000348CE">
      <w:r>
        <w:separator/>
      </w:r>
    </w:p>
  </w:footnote>
  <w:footnote w:type="continuationSeparator" w:id="0">
    <w:p w14:paraId="23CF89EB" w14:textId="77777777" w:rsidR="002540F2" w:rsidRDefault="002540F2" w:rsidP="00034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B23"/>
    <w:multiLevelType w:val="hybridMultilevel"/>
    <w:tmpl w:val="2D66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E4FEA"/>
    <w:multiLevelType w:val="hybridMultilevel"/>
    <w:tmpl w:val="16DA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F099D"/>
    <w:multiLevelType w:val="hybridMultilevel"/>
    <w:tmpl w:val="1D801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E8781B"/>
    <w:multiLevelType w:val="hybridMultilevel"/>
    <w:tmpl w:val="07DA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71F01"/>
    <w:multiLevelType w:val="hybridMultilevel"/>
    <w:tmpl w:val="4DD8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638726">
    <w:abstractNumId w:val="4"/>
  </w:num>
  <w:num w:numId="2" w16cid:durableId="1018501525">
    <w:abstractNumId w:val="1"/>
  </w:num>
  <w:num w:numId="3" w16cid:durableId="920260996">
    <w:abstractNumId w:val="3"/>
  </w:num>
  <w:num w:numId="4" w16cid:durableId="550772993">
    <w:abstractNumId w:val="2"/>
  </w:num>
  <w:num w:numId="5" w16cid:durableId="187330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32"/>
    <w:rsid w:val="000348CE"/>
    <w:rsid w:val="00035943"/>
    <w:rsid w:val="00070AC9"/>
    <w:rsid w:val="00076EB5"/>
    <w:rsid w:val="000A0CF9"/>
    <w:rsid w:val="000B35FA"/>
    <w:rsid w:val="000D3146"/>
    <w:rsid w:val="001070C3"/>
    <w:rsid w:val="001444B3"/>
    <w:rsid w:val="00163DA4"/>
    <w:rsid w:val="00187EB8"/>
    <w:rsid w:val="001A1ED7"/>
    <w:rsid w:val="00200E33"/>
    <w:rsid w:val="00207189"/>
    <w:rsid w:val="00234AF6"/>
    <w:rsid w:val="002540F2"/>
    <w:rsid w:val="002759D3"/>
    <w:rsid w:val="00280702"/>
    <w:rsid w:val="002B40C6"/>
    <w:rsid w:val="002C3E32"/>
    <w:rsid w:val="002D1CCA"/>
    <w:rsid w:val="00304198"/>
    <w:rsid w:val="00315E7B"/>
    <w:rsid w:val="003421F9"/>
    <w:rsid w:val="0037097B"/>
    <w:rsid w:val="003870B5"/>
    <w:rsid w:val="00390014"/>
    <w:rsid w:val="0039702B"/>
    <w:rsid w:val="003B2F7E"/>
    <w:rsid w:val="003E0A94"/>
    <w:rsid w:val="003F4E8F"/>
    <w:rsid w:val="00417F9A"/>
    <w:rsid w:val="00463B45"/>
    <w:rsid w:val="004714F6"/>
    <w:rsid w:val="004A36AB"/>
    <w:rsid w:val="004C0786"/>
    <w:rsid w:val="00555F9C"/>
    <w:rsid w:val="00562B3A"/>
    <w:rsid w:val="005C44A1"/>
    <w:rsid w:val="005D0339"/>
    <w:rsid w:val="00624F0A"/>
    <w:rsid w:val="00652F3B"/>
    <w:rsid w:val="006621F4"/>
    <w:rsid w:val="006D40F6"/>
    <w:rsid w:val="00716DA6"/>
    <w:rsid w:val="00767262"/>
    <w:rsid w:val="007848A8"/>
    <w:rsid w:val="00787098"/>
    <w:rsid w:val="007B1E4D"/>
    <w:rsid w:val="007D4A3C"/>
    <w:rsid w:val="007F55B8"/>
    <w:rsid w:val="008069C1"/>
    <w:rsid w:val="008156FB"/>
    <w:rsid w:val="00831EA2"/>
    <w:rsid w:val="00854378"/>
    <w:rsid w:val="00867771"/>
    <w:rsid w:val="00867E0E"/>
    <w:rsid w:val="00892D12"/>
    <w:rsid w:val="00896D03"/>
    <w:rsid w:val="008C0208"/>
    <w:rsid w:val="008E140B"/>
    <w:rsid w:val="008E4919"/>
    <w:rsid w:val="008F728E"/>
    <w:rsid w:val="00911A15"/>
    <w:rsid w:val="009952F5"/>
    <w:rsid w:val="00A25A18"/>
    <w:rsid w:val="00A53A52"/>
    <w:rsid w:val="00A745D7"/>
    <w:rsid w:val="00A9444C"/>
    <w:rsid w:val="00AB2D82"/>
    <w:rsid w:val="00AE008B"/>
    <w:rsid w:val="00B16D5C"/>
    <w:rsid w:val="00B26D58"/>
    <w:rsid w:val="00B30DF0"/>
    <w:rsid w:val="00B46DC1"/>
    <w:rsid w:val="00B50312"/>
    <w:rsid w:val="00B7704C"/>
    <w:rsid w:val="00BB6E3A"/>
    <w:rsid w:val="00BC2B6A"/>
    <w:rsid w:val="00BC50EE"/>
    <w:rsid w:val="00BE2C27"/>
    <w:rsid w:val="00BE78F9"/>
    <w:rsid w:val="00BF1EDE"/>
    <w:rsid w:val="00C21BC5"/>
    <w:rsid w:val="00C257EF"/>
    <w:rsid w:val="00C37B59"/>
    <w:rsid w:val="00CB19F2"/>
    <w:rsid w:val="00D03F32"/>
    <w:rsid w:val="00D15370"/>
    <w:rsid w:val="00D33272"/>
    <w:rsid w:val="00D66B5E"/>
    <w:rsid w:val="00D83986"/>
    <w:rsid w:val="00DA6D58"/>
    <w:rsid w:val="00DC148E"/>
    <w:rsid w:val="00E2190A"/>
    <w:rsid w:val="00E66590"/>
    <w:rsid w:val="00E75BC4"/>
    <w:rsid w:val="00E7704E"/>
    <w:rsid w:val="00EB19A2"/>
    <w:rsid w:val="00EB69B0"/>
    <w:rsid w:val="00EC54F3"/>
    <w:rsid w:val="00F15577"/>
    <w:rsid w:val="00FA1AAF"/>
    <w:rsid w:val="00FA2E53"/>
    <w:rsid w:val="00FA5CAA"/>
    <w:rsid w:val="00FD2A96"/>
    <w:rsid w:val="00FE3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BC89"/>
  <w15:chartTrackingRefBased/>
  <w15:docId w15:val="{FCD0728D-8308-4CC1-B683-CDBA4CDF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32"/>
    <w:pPr>
      <w:ind w:left="720"/>
      <w:contextualSpacing/>
    </w:pPr>
  </w:style>
  <w:style w:type="table" w:styleId="TableGrid">
    <w:name w:val="Table Grid"/>
    <w:basedOn w:val="TableNormal"/>
    <w:uiPriority w:val="39"/>
    <w:rsid w:val="002C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48CE"/>
    <w:rPr>
      <w:rFonts w:cs="Open Sans"/>
      <w:sz w:val="20"/>
      <w:szCs w:val="20"/>
    </w:rPr>
  </w:style>
  <w:style w:type="character" w:customStyle="1" w:styleId="FootnoteTextChar">
    <w:name w:val="Footnote Text Char"/>
    <w:basedOn w:val="DefaultParagraphFont"/>
    <w:link w:val="FootnoteText"/>
    <w:uiPriority w:val="99"/>
    <w:semiHidden/>
    <w:rsid w:val="000348CE"/>
    <w:rPr>
      <w:rFonts w:cs="Open Sans"/>
      <w:sz w:val="20"/>
      <w:szCs w:val="20"/>
    </w:rPr>
  </w:style>
  <w:style w:type="character" w:styleId="FootnoteReference">
    <w:name w:val="footnote reference"/>
    <w:basedOn w:val="DefaultParagraphFont"/>
    <w:uiPriority w:val="99"/>
    <w:semiHidden/>
    <w:unhideWhenUsed/>
    <w:rsid w:val="000348CE"/>
    <w:rPr>
      <w:vertAlign w:val="superscript"/>
    </w:rPr>
  </w:style>
  <w:style w:type="character" w:styleId="Hyperlink">
    <w:name w:val="Hyperlink"/>
    <w:basedOn w:val="DefaultParagraphFont"/>
    <w:uiPriority w:val="99"/>
    <w:unhideWhenUsed/>
    <w:rsid w:val="003870B5"/>
    <w:rPr>
      <w:color w:val="0563C1" w:themeColor="hyperlink"/>
      <w:u w:val="single"/>
    </w:rPr>
  </w:style>
  <w:style w:type="paragraph" w:styleId="Header">
    <w:name w:val="header"/>
    <w:basedOn w:val="Normal"/>
    <w:link w:val="HeaderChar"/>
    <w:uiPriority w:val="99"/>
    <w:unhideWhenUsed/>
    <w:rsid w:val="006621F4"/>
    <w:pPr>
      <w:tabs>
        <w:tab w:val="center" w:pos="4513"/>
        <w:tab w:val="right" w:pos="9026"/>
      </w:tabs>
    </w:pPr>
  </w:style>
  <w:style w:type="character" w:customStyle="1" w:styleId="HeaderChar">
    <w:name w:val="Header Char"/>
    <w:basedOn w:val="DefaultParagraphFont"/>
    <w:link w:val="Header"/>
    <w:uiPriority w:val="99"/>
    <w:rsid w:val="006621F4"/>
  </w:style>
  <w:style w:type="paragraph" w:styleId="Footer">
    <w:name w:val="footer"/>
    <w:basedOn w:val="Normal"/>
    <w:link w:val="FooterChar"/>
    <w:uiPriority w:val="99"/>
    <w:unhideWhenUsed/>
    <w:rsid w:val="006621F4"/>
    <w:pPr>
      <w:tabs>
        <w:tab w:val="center" w:pos="4513"/>
        <w:tab w:val="right" w:pos="9026"/>
      </w:tabs>
    </w:pPr>
  </w:style>
  <w:style w:type="character" w:customStyle="1" w:styleId="FooterChar">
    <w:name w:val="Footer Char"/>
    <w:basedOn w:val="DefaultParagraphFont"/>
    <w:link w:val="Footer"/>
    <w:uiPriority w:val="99"/>
    <w:rsid w:val="006621F4"/>
  </w:style>
  <w:style w:type="character" w:styleId="FollowedHyperlink">
    <w:name w:val="FollowedHyperlink"/>
    <w:basedOn w:val="DefaultParagraphFont"/>
    <w:uiPriority w:val="99"/>
    <w:semiHidden/>
    <w:unhideWhenUsed/>
    <w:rsid w:val="008C0208"/>
    <w:rPr>
      <w:color w:val="954F72" w:themeColor="followedHyperlink"/>
      <w:u w:val="single"/>
    </w:rPr>
  </w:style>
  <w:style w:type="character" w:styleId="CommentReference">
    <w:name w:val="annotation reference"/>
    <w:basedOn w:val="DefaultParagraphFont"/>
    <w:uiPriority w:val="99"/>
    <w:semiHidden/>
    <w:unhideWhenUsed/>
    <w:rsid w:val="008C0208"/>
    <w:rPr>
      <w:sz w:val="16"/>
      <w:szCs w:val="16"/>
    </w:rPr>
  </w:style>
  <w:style w:type="paragraph" w:styleId="CommentText">
    <w:name w:val="annotation text"/>
    <w:basedOn w:val="Normal"/>
    <w:link w:val="CommentTextChar"/>
    <w:uiPriority w:val="99"/>
    <w:semiHidden/>
    <w:unhideWhenUsed/>
    <w:rsid w:val="008C0208"/>
    <w:rPr>
      <w:sz w:val="20"/>
      <w:szCs w:val="20"/>
    </w:rPr>
  </w:style>
  <w:style w:type="character" w:customStyle="1" w:styleId="CommentTextChar">
    <w:name w:val="Comment Text Char"/>
    <w:basedOn w:val="DefaultParagraphFont"/>
    <w:link w:val="CommentText"/>
    <w:uiPriority w:val="99"/>
    <w:semiHidden/>
    <w:rsid w:val="008C0208"/>
    <w:rPr>
      <w:sz w:val="20"/>
      <w:szCs w:val="20"/>
    </w:rPr>
  </w:style>
  <w:style w:type="paragraph" w:styleId="CommentSubject">
    <w:name w:val="annotation subject"/>
    <w:basedOn w:val="CommentText"/>
    <w:next w:val="CommentText"/>
    <w:link w:val="CommentSubjectChar"/>
    <w:uiPriority w:val="99"/>
    <w:semiHidden/>
    <w:unhideWhenUsed/>
    <w:rsid w:val="008C0208"/>
    <w:rPr>
      <w:b/>
      <w:bCs/>
    </w:rPr>
  </w:style>
  <w:style w:type="character" w:customStyle="1" w:styleId="CommentSubjectChar">
    <w:name w:val="Comment Subject Char"/>
    <w:basedOn w:val="CommentTextChar"/>
    <w:link w:val="CommentSubject"/>
    <w:uiPriority w:val="99"/>
    <w:semiHidden/>
    <w:rsid w:val="008C0208"/>
    <w:rPr>
      <w:b/>
      <w:bCs/>
      <w:sz w:val="20"/>
      <w:szCs w:val="20"/>
    </w:rPr>
  </w:style>
  <w:style w:type="paragraph" w:styleId="BalloonText">
    <w:name w:val="Balloon Text"/>
    <w:basedOn w:val="Normal"/>
    <w:link w:val="BalloonTextChar"/>
    <w:uiPriority w:val="99"/>
    <w:semiHidden/>
    <w:unhideWhenUsed/>
    <w:rsid w:val="008C0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208"/>
    <w:rPr>
      <w:rFonts w:ascii="Segoe UI" w:hAnsi="Segoe UI" w:cs="Segoe UI"/>
      <w:sz w:val="18"/>
      <w:szCs w:val="18"/>
    </w:rPr>
  </w:style>
  <w:style w:type="paragraph" w:styleId="Revision">
    <w:name w:val="Revision"/>
    <w:hidden/>
    <w:uiPriority w:val="99"/>
    <w:semiHidden/>
    <w:rsid w:val="00B4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sd.ac.uk/content/quality-assurance-and-enhanc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s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sd.ac.uk/content/quality-assurance-and-enhanc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sd.ac.uk/content/quality-assurance-and-enhancement" TargetMode="External"/><Relationship Id="rId4" Type="http://schemas.openxmlformats.org/officeDocument/2006/relationships/settings" Target="settings.xml"/><Relationship Id="rId9" Type="http://schemas.openxmlformats.org/officeDocument/2006/relationships/hyperlink" Target="https://www.officeforstudents.org.uk/publications/analysis-of-degree-classifications-over-t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F7F7-B986-4DAE-BB4A-9180C210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Royal Central School of Speech and Drama</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Perkins</dc:creator>
  <cp:keywords/>
  <dc:description/>
  <cp:lastModifiedBy>James Perkins</cp:lastModifiedBy>
  <cp:revision>3</cp:revision>
  <dcterms:created xsi:type="dcterms:W3CDTF">2022-11-02T15:07:00Z</dcterms:created>
  <dcterms:modified xsi:type="dcterms:W3CDTF">2022-11-02T15:07:00Z</dcterms:modified>
</cp:coreProperties>
</file>