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01002" w14:textId="77777777" w:rsidR="00CB3C4F" w:rsidRDefault="00CB3C4F" w:rsidP="00FE0F71">
      <w:pPr>
        <w:pStyle w:val="NormalWeb"/>
        <w:spacing w:before="0" w:beforeAutospacing="0" w:after="0" w:afterAutospacing="0"/>
        <w:rPr>
          <w:rFonts w:ascii="Open Sans" w:hAnsi="Open Sans" w:cs="Open Sans"/>
        </w:rPr>
      </w:pPr>
    </w:p>
    <w:p w14:paraId="4CE97F7E" w14:textId="06A79732" w:rsidR="00FE0F71" w:rsidRPr="00753D49" w:rsidRDefault="00FE0F71" w:rsidP="00FE0F71">
      <w:pPr>
        <w:pStyle w:val="NormalWeb"/>
        <w:spacing w:before="0" w:beforeAutospacing="0" w:after="0" w:afterAutospacing="0"/>
        <w:rPr>
          <w:rFonts w:ascii="Open Sans" w:hAnsi="Open Sans" w:cs="Open Sans"/>
        </w:rPr>
      </w:pPr>
      <w:r w:rsidRPr="00753D49">
        <w:rPr>
          <w:rFonts w:ascii="Open Sans" w:hAnsi="Open Sans" w:cs="Open Sans"/>
          <w:noProof/>
        </w:rPr>
        <w:drawing>
          <wp:anchor distT="0" distB="0" distL="114300" distR="114300" simplePos="0" relativeHeight="251658240" behindDoc="0" locked="0" layoutInCell="1" allowOverlap="1" wp14:anchorId="237E15C1" wp14:editId="37154F80">
            <wp:simplePos x="0" y="0"/>
            <wp:positionH relativeFrom="column">
              <wp:posOffset>2499360</wp:posOffset>
            </wp:positionH>
            <wp:positionV relativeFrom="paragraph">
              <wp:posOffset>0</wp:posOffset>
            </wp:positionV>
            <wp:extent cx="3286760" cy="565785"/>
            <wp:effectExtent l="0" t="0" r="889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al-long-logo-templat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CDADE" w14:textId="77777777" w:rsidR="00FE0F71" w:rsidRPr="00753D49" w:rsidRDefault="00FE0F71" w:rsidP="00FE0F71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b/>
          <w:color w:val="70AD47" w:themeColor="accent6"/>
        </w:rPr>
      </w:pPr>
    </w:p>
    <w:p w14:paraId="25502AB9" w14:textId="77777777" w:rsidR="00CB3C4F" w:rsidRDefault="00CB3C4F" w:rsidP="00FE0F71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b/>
          <w:color w:val="70AD47" w:themeColor="accent6"/>
        </w:rPr>
      </w:pPr>
    </w:p>
    <w:p w14:paraId="1E979288" w14:textId="0E531B6F" w:rsidR="00FE0F71" w:rsidRPr="00753D49" w:rsidRDefault="00753D49" w:rsidP="00FE0F71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b/>
          <w:color w:val="70AD47" w:themeColor="accent6"/>
        </w:rPr>
      </w:pPr>
      <w:r>
        <w:rPr>
          <w:rFonts w:ascii="Open Sans" w:hAnsi="Open Sans" w:cs="Open Sans"/>
          <w:b/>
          <w:color w:val="70AD47" w:themeColor="accent6"/>
        </w:rPr>
        <w:t xml:space="preserve">Our </w:t>
      </w:r>
      <w:r w:rsidR="00FE0F71" w:rsidRPr="00753D49">
        <w:rPr>
          <w:rFonts w:ascii="Open Sans" w:hAnsi="Open Sans" w:cs="Open Sans"/>
          <w:b/>
          <w:color w:val="70AD47" w:themeColor="accent6"/>
        </w:rPr>
        <w:t>Gender Pay Ga</w:t>
      </w:r>
      <w:r w:rsidR="00123EFE">
        <w:rPr>
          <w:rFonts w:ascii="Open Sans" w:hAnsi="Open Sans" w:cs="Open Sans"/>
          <w:b/>
          <w:color w:val="70AD47" w:themeColor="accent6"/>
        </w:rPr>
        <w:t>p</w:t>
      </w:r>
    </w:p>
    <w:p w14:paraId="485CD4F6" w14:textId="77777777" w:rsidR="002E6873" w:rsidRPr="00753D49" w:rsidRDefault="002E6873" w:rsidP="00FE0F71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</w:rPr>
      </w:pPr>
    </w:p>
    <w:p w14:paraId="53123568" w14:textId="185331E5" w:rsidR="00FE0F71" w:rsidRPr="00753D49" w:rsidRDefault="00FE0F71" w:rsidP="00FE0F71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</w:rPr>
      </w:pPr>
      <w:r w:rsidRPr="00753D49">
        <w:rPr>
          <w:rFonts w:ascii="Open Sans" w:hAnsi="Open Sans" w:cs="Open Sans"/>
        </w:rPr>
        <w:t xml:space="preserve">In accordance with the Equality Act 2010 (Gender Pay Gap Information) Regulations 2017, the School is required to evaluate its data over 6 specific calculations: by hourly rate of pay mean earnings; by hourly rate of pay median earnings; by mean gender bonus gap; by median gender bonus gap and by quartile pay bands (the proportion of male and female full-pay employees in quartile bands).  The term </w:t>
      </w:r>
      <w:r w:rsidRPr="00753D49">
        <w:rPr>
          <w:rFonts w:ascii="Open Sans" w:hAnsi="Open Sans" w:cs="Open Sans"/>
          <w:i/>
        </w:rPr>
        <w:t>mean</w:t>
      </w:r>
      <w:r w:rsidRPr="00753D49">
        <w:rPr>
          <w:rFonts w:ascii="Open Sans" w:hAnsi="Open Sans" w:cs="Open Sans"/>
        </w:rPr>
        <w:t xml:space="preserve"> refers to average earnings and </w:t>
      </w:r>
      <w:r w:rsidRPr="00753D49">
        <w:rPr>
          <w:rFonts w:ascii="Open Sans" w:hAnsi="Open Sans" w:cs="Open Sans"/>
          <w:i/>
        </w:rPr>
        <w:t>median</w:t>
      </w:r>
      <w:r w:rsidRPr="00753D49">
        <w:rPr>
          <w:rFonts w:ascii="Open Sans" w:hAnsi="Open Sans" w:cs="Open Sans"/>
        </w:rPr>
        <w:t xml:space="preserve"> describes the middle value within a specific range.</w:t>
      </w:r>
    </w:p>
    <w:p w14:paraId="4AADDBBF" w14:textId="0AD3FD67" w:rsidR="00753D49" w:rsidRPr="00753D49" w:rsidRDefault="00753D49" w:rsidP="00FE0F71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</w:rPr>
      </w:pPr>
    </w:p>
    <w:p w14:paraId="01AD0D79" w14:textId="08F4A110" w:rsidR="00753D49" w:rsidRPr="00753D49" w:rsidRDefault="00753D49" w:rsidP="583EC09D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</w:rPr>
      </w:pPr>
      <w:r w:rsidRPr="583EC09D">
        <w:rPr>
          <w:rFonts w:ascii="Open Sans" w:hAnsi="Open Sans" w:cs="Open Sans"/>
        </w:rPr>
        <w:t xml:space="preserve">We are aware that the Gender Pay Gap regulation requirements to report on male and female employees only, do not recognise individuals </w:t>
      </w:r>
      <w:r w:rsidR="00656354">
        <w:rPr>
          <w:rFonts w:ascii="Open Sans" w:hAnsi="Open Sans" w:cs="Open Sans"/>
        </w:rPr>
        <w:t xml:space="preserve">whose gender may not sit within these categories. </w:t>
      </w:r>
      <w:r w:rsidRPr="583EC09D">
        <w:rPr>
          <w:rFonts w:ascii="Open Sans" w:hAnsi="Open Sans" w:cs="Open Sans"/>
        </w:rPr>
        <w:t>This could bring about issues around concealing a further gender pay gap between cis-gendered people and those that do not identify within those binaries. We have considered voluntarily reporting on pay data across transgender and non-binary groups, however currently there is not enough data to accurately determine a pay gap or report on this sensitively and/or in line with GDPR. With this in mind, we are awaiting further updates and guidance from the government on how to include this information fairly.</w:t>
      </w:r>
    </w:p>
    <w:p w14:paraId="68D29B06" w14:textId="77777777" w:rsidR="002E0BC2" w:rsidRPr="00753D49" w:rsidRDefault="002E0BC2" w:rsidP="00FE0F71">
      <w:pPr>
        <w:pStyle w:val="Heading1"/>
        <w:ind w:left="0"/>
        <w:rPr>
          <w:rFonts w:ascii="Open Sans" w:hAnsi="Open Sans" w:cs="Open Sans"/>
          <w:color w:val="6FAC46"/>
          <w:sz w:val="24"/>
          <w:szCs w:val="24"/>
        </w:rPr>
      </w:pPr>
    </w:p>
    <w:p w14:paraId="651F4F71" w14:textId="40D181ED" w:rsidR="00FE0F71" w:rsidRPr="00753D49" w:rsidRDefault="00FE0F71" w:rsidP="00FE0F71">
      <w:pPr>
        <w:pStyle w:val="Heading1"/>
        <w:ind w:left="0"/>
        <w:rPr>
          <w:rFonts w:ascii="Open Sans" w:hAnsi="Open Sans" w:cs="Open Sans"/>
          <w:sz w:val="24"/>
          <w:szCs w:val="24"/>
        </w:rPr>
      </w:pPr>
      <w:r w:rsidRPr="00753D49">
        <w:rPr>
          <w:rFonts w:ascii="Open Sans" w:hAnsi="Open Sans" w:cs="Open Sans"/>
          <w:color w:val="6FAC46"/>
          <w:sz w:val="24"/>
          <w:szCs w:val="24"/>
        </w:rPr>
        <w:t xml:space="preserve">The </w:t>
      </w:r>
      <w:r w:rsidR="00753D49">
        <w:rPr>
          <w:rFonts w:ascii="Open Sans" w:hAnsi="Open Sans" w:cs="Open Sans"/>
          <w:color w:val="6FAC46"/>
          <w:sz w:val="24"/>
          <w:szCs w:val="24"/>
        </w:rPr>
        <w:t>S</w:t>
      </w:r>
      <w:r w:rsidRPr="00753D49">
        <w:rPr>
          <w:rFonts w:ascii="Open Sans" w:hAnsi="Open Sans" w:cs="Open Sans"/>
          <w:color w:val="6FAC46"/>
          <w:sz w:val="24"/>
          <w:szCs w:val="24"/>
        </w:rPr>
        <w:t>taff</w:t>
      </w:r>
    </w:p>
    <w:p w14:paraId="7F594DA6" w14:textId="77777777" w:rsidR="00FE0F71" w:rsidRPr="00753D49" w:rsidRDefault="00FE0F71" w:rsidP="00FE0F71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</w:rPr>
      </w:pPr>
    </w:p>
    <w:p w14:paraId="21475436" w14:textId="121C4B63" w:rsidR="00FE0F71" w:rsidRPr="00753D49" w:rsidRDefault="00FE0F71" w:rsidP="00FE0F71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</w:rPr>
      </w:pPr>
      <w:r w:rsidRPr="00753D49">
        <w:rPr>
          <w:rFonts w:ascii="Open Sans" w:hAnsi="Open Sans" w:cs="Open Sans"/>
        </w:rPr>
        <w:t xml:space="preserve">In accordance with the Equality Act 2010 (Gender Pay Gap Information) Regulations 2017, the School is required to evaluate its data over 6 specific calculations: by hourly rate of pay mean earnings; by hourly rate of pay median earnings; by mean gender bonus gap; by median gender bonus gap and by quartile pay bands (the proportion of male and female full-pay employees in quartile bands).  The term </w:t>
      </w:r>
      <w:r w:rsidRPr="00753D49">
        <w:rPr>
          <w:rFonts w:ascii="Open Sans" w:hAnsi="Open Sans" w:cs="Open Sans"/>
          <w:i/>
        </w:rPr>
        <w:t>mean</w:t>
      </w:r>
      <w:r w:rsidRPr="00753D49">
        <w:rPr>
          <w:rFonts w:ascii="Open Sans" w:hAnsi="Open Sans" w:cs="Open Sans"/>
        </w:rPr>
        <w:t xml:space="preserve"> refers to average earnings and </w:t>
      </w:r>
      <w:r w:rsidRPr="00753D49">
        <w:rPr>
          <w:rFonts w:ascii="Open Sans" w:hAnsi="Open Sans" w:cs="Open Sans"/>
          <w:i/>
        </w:rPr>
        <w:t>median</w:t>
      </w:r>
      <w:r w:rsidRPr="00753D49">
        <w:rPr>
          <w:rFonts w:ascii="Open Sans" w:hAnsi="Open Sans" w:cs="Open Sans"/>
        </w:rPr>
        <w:t xml:space="preserve"> describes the middle value within a specific range.</w:t>
      </w:r>
    </w:p>
    <w:p w14:paraId="48766F16" w14:textId="09AEC979" w:rsidR="00FE0F71" w:rsidRPr="00753D49" w:rsidRDefault="00FE0F71" w:rsidP="00FE0F71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</w:rPr>
      </w:pPr>
    </w:p>
    <w:p w14:paraId="1173E227" w14:textId="6CFE8057" w:rsidR="00126DDF" w:rsidRDefault="00126DDF" w:rsidP="00FE0F71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i/>
          <w:iCs/>
        </w:rPr>
      </w:pPr>
      <w:r w:rsidRPr="006922A6">
        <w:rPr>
          <w:rFonts w:ascii="Open Sans" w:hAnsi="Open Sans" w:cs="Open Sans"/>
          <w:i/>
          <w:iCs/>
        </w:rPr>
        <w:t xml:space="preserve">Table 1 </w:t>
      </w:r>
      <w:r w:rsidR="00212BF7" w:rsidRPr="006922A6">
        <w:rPr>
          <w:rFonts w:ascii="Open Sans" w:hAnsi="Open Sans" w:cs="Open Sans"/>
          <w:i/>
          <w:iCs/>
        </w:rPr>
        <w:t>–</w:t>
      </w:r>
      <w:r w:rsidRPr="006922A6">
        <w:rPr>
          <w:rFonts w:ascii="Open Sans" w:hAnsi="Open Sans" w:cs="Open Sans"/>
          <w:i/>
          <w:iCs/>
        </w:rPr>
        <w:t xml:space="preserve"> </w:t>
      </w:r>
      <w:r w:rsidR="00212BF7" w:rsidRPr="006922A6">
        <w:rPr>
          <w:rFonts w:ascii="Open Sans" w:hAnsi="Open Sans" w:cs="Open Sans"/>
          <w:i/>
          <w:iCs/>
        </w:rPr>
        <w:t>six statutory calculations for 202</w:t>
      </w:r>
      <w:r w:rsidR="00DF1F64">
        <w:rPr>
          <w:rFonts w:ascii="Open Sans" w:hAnsi="Open Sans" w:cs="Open Sans"/>
          <w:i/>
          <w:iCs/>
        </w:rPr>
        <w:t>1</w:t>
      </w:r>
      <w:r w:rsidR="004A2741" w:rsidRPr="006922A6">
        <w:rPr>
          <w:rFonts w:ascii="Open Sans" w:hAnsi="Open Sans" w:cs="Open Sans"/>
          <w:i/>
          <w:iCs/>
        </w:rPr>
        <w:t xml:space="preserve"> and 202</w:t>
      </w:r>
      <w:r w:rsidR="00DF1F64">
        <w:rPr>
          <w:rFonts w:ascii="Open Sans" w:hAnsi="Open Sans" w:cs="Open Sans"/>
          <w:i/>
          <w:iCs/>
        </w:rPr>
        <w:t>2</w:t>
      </w:r>
    </w:p>
    <w:p w14:paraId="4188BE9D" w14:textId="360577A9" w:rsidR="00983B7A" w:rsidRDefault="00983B7A" w:rsidP="00FE0F71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i/>
          <w:iCs/>
        </w:rPr>
      </w:pPr>
    </w:p>
    <w:p w14:paraId="0ACC5415" w14:textId="77777777" w:rsidR="00983B7A" w:rsidRPr="006922A6" w:rsidRDefault="00983B7A" w:rsidP="00FE0F71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i/>
          <w:iCs/>
        </w:rPr>
      </w:pPr>
    </w:p>
    <w:tbl>
      <w:tblPr>
        <w:tblW w:w="9487" w:type="dxa"/>
        <w:tblLook w:val="04A0" w:firstRow="1" w:lastRow="0" w:firstColumn="1" w:lastColumn="0" w:noHBand="0" w:noVBand="1"/>
      </w:tblPr>
      <w:tblGrid>
        <w:gridCol w:w="5235"/>
        <w:gridCol w:w="1418"/>
        <w:gridCol w:w="1275"/>
        <w:gridCol w:w="1559"/>
      </w:tblGrid>
      <w:tr w:rsidR="00922B29" w:rsidRPr="00753D49" w14:paraId="35D96F6D" w14:textId="77777777" w:rsidTr="00E54364">
        <w:trPr>
          <w:trHeight w:val="790"/>
        </w:trPr>
        <w:tc>
          <w:tcPr>
            <w:tcW w:w="5235" w:type="dxa"/>
            <w:tcBorders>
              <w:top w:val="single" w:sz="8" w:space="0" w:color="6FAC46"/>
              <w:left w:val="single" w:sz="8" w:space="0" w:color="6FAC46"/>
              <w:bottom w:val="single" w:sz="8" w:space="0" w:color="6FAC46"/>
              <w:right w:val="single" w:sz="8" w:space="0" w:color="6FAC46"/>
            </w:tcBorders>
            <w:shd w:val="clear" w:color="auto" w:fill="auto"/>
            <w:vAlign w:val="center"/>
            <w:hideMark/>
          </w:tcPr>
          <w:p w14:paraId="77D0BE8E" w14:textId="77777777" w:rsidR="00922B29" w:rsidRPr="006B5995" w:rsidRDefault="00922B29" w:rsidP="0031317F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6FAC46"/>
                <w:sz w:val="24"/>
                <w:szCs w:val="24"/>
                <w:lang w:eastAsia="en-GB"/>
              </w:rPr>
            </w:pPr>
            <w:r w:rsidRPr="006B5995">
              <w:rPr>
                <w:rFonts w:ascii="Open Sans" w:eastAsia="Times New Roman" w:hAnsi="Open Sans" w:cs="Open Sans"/>
                <w:b/>
                <w:bCs/>
                <w:color w:val="6FAC46"/>
                <w:sz w:val="24"/>
                <w:szCs w:val="24"/>
                <w:lang w:eastAsia="en-GB"/>
              </w:rPr>
              <w:t>Calculation</w:t>
            </w:r>
          </w:p>
        </w:tc>
        <w:tc>
          <w:tcPr>
            <w:tcW w:w="1418" w:type="dxa"/>
            <w:tcBorders>
              <w:top w:val="single" w:sz="8" w:space="0" w:color="6FAC46"/>
              <w:left w:val="nil"/>
              <w:bottom w:val="single" w:sz="8" w:space="0" w:color="6FAC46"/>
              <w:right w:val="single" w:sz="4" w:space="0" w:color="auto"/>
            </w:tcBorders>
            <w:shd w:val="clear" w:color="auto" w:fill="auto"/>
            <w:vAlign w:val="center"/>
          </w:tcPr>
          <w:p w14:paraId="7B998F7A" w14:textId="0B6B85F8" w:rsidR="00922B29" w:rsidRPr="006B5995" w:rsidRDefault="00922B29" w:rsidP="00E54364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6FAC46"/>
                <w:sz w:val="24"/>
                <w:szCs w:val="24"/>
                <w:lang w:eastAsia="en-GB"/>
              </w:rPr>
            </w:pPr>
            <w:r w:rsidRPr="006B5995">
              <w:rPr>
                <w:rFonts w:ascii="Open Sans" w:eastAsia="Times New Roman" w:hAnsi="Open Sans" w:cs="Open Sans"/>
                <w:b/>
                <w:bCs/>
                <w:color w:val="6FAC46"/>
                <w:sz w:val="24"/>
                <w:szCs w:val="24"/>
                <w:lang w:eastAsia="en-GB"/>
              </w:rPr>
              <w:t>31 Mar 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962AA" w14:textId="77777777" w:rsidR="00E54364" w:rsidRDefault="00E54364" w:rsidP="00E54364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b/>
                <w:bCs/>
                <w:color w:val="6FAC46"/>
                <w:sz w:val="24"/>
                <w:szCs w:val="24"/>
                <w:lang w:eastAsia="en-GB"/>
              </w:rPr>
            </w:pPr>
          </w:p>
          <w:p w14:paraId="1B79C486" w14:textId="7930C6AA" w:rsidR="00E54364" w:rsidRDefault="00E54364" w:rsidP="00E54364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b/>
                <w:bCs/>
                <w:color w:val="6FAC46"/>
                <w:sz w:val="24"/>
                <w:szCs w:val="24"/>
                <w:lang w:eastAsia="en-GB"/>
              </w:rPr>
            </w:pPr>
            <w:r w:rsidRPr="00E54364">
              <w:rPr>
                <w:rFonts w:ascii="Open Sans" w:eastAsia="Times New Roman" w:hAnsi="Open Sans" w:cs="Open Sans"/>
                <w:b/>
                <w:bCs/>
                <w:color w:val="6FAC46"/>
                <w:sz w:val="24"/>
                <w:szCs w:val="24"/>
                <w:lang w:eastAsia="en-GB"/>
              </w:rPr>
              <w:t>31 Mar 202</w:t>
            </w:r>
            <w:r>
              <w:rPr>
                <w:rFonts w:ascii="Open Sans" w:eastAsia="Times New Roman" w:hAnsi="Open Sans" w:cs="Open Sans"/>
                <w:b/>
                <w:bCs/>
                <w:color w:val="6FAC46"/>
                <w:sz w:val="24"/>
                <w:szCs w:val="24"/>
                <w:lang w:eastAsia="en-GB"/>
              </w:rPr>
              <w:t>2</w:t>
            </w:r>
          </w:p>
          <w:p w14:paraId="70D69979" w14:textId="2975170E" w:rsidR="00922B29" w:rsidRPr="006B5995" w:rsidRDefault="00922B29" w:rsidP="00E54364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6FAC46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tcBorders>
              <w:top w:val="single" w:sz="8" w:space="0" w:color="6FAC46"/>
              <w:left w:val="single" w:sz="4" w:space="0" w:color="auto"/>
              <w:bottom w:val="single" w:sz="8" w:space="0" w:color="6FAC46"/>
              <w:right w:val="single" w:sz="8" w:space="0" w:color="6FAC46"/>
            </w:tcBorders>
            <w:shd w:val="clear" w:color="000000" w:fill="FCE4D6"/>
            <w:vAlign w:val="center"/>
            <w:hideMark/>
          </w:tcPr>
          <w:p w14:paraId="4D223F0B" w14:textId="1022D5A4" w:rsidR="00922B29" w:rsidRPr="006B5995" w:rsidRDefault="00922B29" w:rsidP="0031317F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b/>
                <w:bCs/>
                <w:color w:val="6FAC46"/>
                <w:sz w:val="24"/>
                <w:szCs w:val="24"/>
                <w:lang w:eastAsia="en-GB"/>
              </w:rPr>
            </w:pPr>
            <w:r w:rsidRPr="006B5995">
              <w:rPr>
                <w:rFonts w:ascii="Open Sans" w:eastAsia="Times New Roman" w:hAnsi="Open Sans" w:cs="Open Sans"/>
                <w:b/>
                <w:bCs/>
                <w:color w:val="6FAC46"/>
                <w:sz w:val="24"/>
                <w:szCs w:val="24"/>
                <w:lang w:eastAsia="en-GB"/>
              </w:rPr>
              <w:t>Difference [from 202</w:t>
            </w:r>
            <w:r>
              <w:rPr>
                <w:rFonts w:ascii="Open Sans" w:eastAsia="Times New Roman" w:hAnsi="Open Sans" w:cs="Open Sans"/>
                <w:b/>
                <w:bCs/>
                <w:color w:val="6FAC46"/>
                <w:sz w:val="24"/>
                <w:szCs w:val="24"/>
                <w:lang w:eastAsia="en-GB"/>
              </w:rPr>
              <w:t>1</w:t>
            </w:r>
            <w:r w:rsidRPr="006B5995">
              <w:rPr>
                <w:rFonts w:ascii="Open Sans" w:eastAsia="Times New Roman" w:hAnsi="Open Sans" w:cs="Open Sans"/>
                <w:b/>
                <w:bCs/>
                <w:color w:val="6FAC46"/>
                <w:sz w:val="24"/>
                <w:szCs w:val="24"/>
                <w:lang w:eastAsia="en-GB"/>
              </w:rPr>
              <w:t xml:space="preserve"> to 202</w:t>
            </w:r>
            <w:r>
              <w:rPr>
                <w:rFonts w:ascii="Open Sans" w:eastAsia="Times New Roman" w:hAnsi="Open Sans" w:cs="Open Sans"/>
                <w:b/>
                <w:bCs/>
                <w:color w:val="6FAC46"/>
                <w:sz w:val="24"/>
                <w:szCs w:val="24"/>
                <w:lang w:eastAsia="en-GB"/>
              </w:rPr>
              <w:t>2</w:t>
            </w:r>
            <w:r w:rsidRPr="006B5995">
              <w:rPr>
                <w:rFonts w:ascii="Open Sans" w:eastAsia="Times New Roman" w:hAnsi="Open Sans" w:cs="Open Sans"/>
                <w:b/>
                <w:bCs/>
                <w:color w:val="6FAC46"/>
                <w:sz w:val="24"/>
                <w:szCs w:val="24"/>
                <w:lang w:eastAsia="en-GB"/>
              </w:rPr>
              <w:t>]</w:t>
            </w:r>
          </w:p>
        </w:tc>
      </w:tr>
      <w:tr w:rsidR="00922B29" w:rsidRPr="00753D49" w14:paraId="79700C90" w14:textId="77777777" w:rsidTr="00E54364">
        <w:trPr>
          <w:trHeight w:val="300"/>
        </w:trPr>
        <w:tc>
          <w:tcPr>
            <w:tcW w:w="5235" w:type="dxa"/>
            <w:tcBorders>
              <w:top w:val="nil"/>
              <w:left w:val="single" w:sz="8" w:space="0" w:color="6FAC46"/>
              <w:bottom w:val="single" w:sz="8" w:space="0" w:color="6FAC46"/>
              <w:right w:val="single" w:sz="8" w:space="0" w:color="6FAC46"/>
            </w:tcBorders>
            <w:shd w:val="clear" w:color="auto" w:fill="auto"/>
            <w:vAlign w:val="center"/>
            <w:hideMark/>
          </w:tcPr>
          <w:p w14:paraId="3873F94C" w14:textId="77777777" w:rsidR="00922B29" w:rsidRPr="006B5995" w:rsidRDefault="00922B29" w:rsidP="0031317F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6B5995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The mean gender pay gap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6FAC46"/>
              <w:right w:val="single" w:sz="4" w:space="0" w:color="auto"/>
            </w:tcBorders>
            <w:shd w:val="clear" w:color="auto" w:fill="auto"/>
            <w:vAlign w:val="center"/>
          </w:tcPr>
          <w:p w14:paraId="42E98DF4" w14:textId="140F56FA" w:rsidR="00922B29" w:rsidRPr="006B5995" w:rsidRDefault="00922B29" w:rsidP="0031317F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6B5995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-6.1%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E1578" w14:textId="630DC368" w:rsidR="00922B29" w:rsidRPr="006B5995" w:rsidRDefault="00922B29" w:rsidP="002A138B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-1.6%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6FAC46"/>
              <w:right w:val="single" w:sz="8" w:space="0" w:color="6FAC46"/>
            </w:tcBorders>
            <w:shd w:val="clear" w:color="000000" w:fill="FCE4D6"/>
            <w:vAlign w:val="center"/>
          </w:tcPr>
          <w:p w14:paraId="14F79732" w14:textId="5B37613C" w:rsidR="00922B29" w:rsidRPr="006B5995" w:rsidRDefault="00922B29" w:rsidP="002A138B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-4.5%</w:t>
            </w:r>
          </w:p>
        </w:tc>
      </w:tr>
      <w:tr w:rsidR="00922B29" w:rsidRPr="00753D49" w14:paraId="362492D7" w14:textId="77777777" w:rsidTr="00E54364">
        <w:trPr>
          <w:trHeight w:val="300"/>
        </w:trPr>
        <w:tc>
          <w:tcPr>
            <w:tcW w:w="5235" w:type="dxa"/>
            <w:tcBorders>
              <w:top w:val="nil"/>
              <w:left w:val="single" w:sz="8" w:space="0" w:color="6FAC46"/>
              <w:bottom w:val="single" w:sz="8" w:space="0" w:color="6FAC46"/>
              <w:right w:val="single" w:sz="8" w:space="0" w:color="6FAC46"/>
            </w:tcBorders>
            <w:shd w:val="clear" w:color="auto" w:fill="auto"/>
            <w:vAlign w:val="center"/>
            <w:hideMark/>
          </w:tcPr>
          <w:p w14:paraId="5EC99B79" w14:textId="77777777" w:rsidR="00922B29" w:rsidRPr="006B5995" w:rsidRDefault="00922B29" w:rsidP="0031317F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6B5995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The median gender pay gap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6FAC46"/>
              <w:right w:val="single" w:sz="4" w:space="0" w:color="auto"/>
            </w:tcBorders>
            <w:shd w:val="clear" w:color="auto" w:fill="auto"/>
            <w:vAlign w:val="center"/>
          </w:tcPr>
          <w:p w14:paraId="7BE8F1EB" w14:textId="5C7AB422" w:rsidR="00922B29" w:rsidRPr="006B5995" w:rsidRDefault="00922B29" w:rsidP="0031317F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6B5995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-5.6%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752C" w14:textId="6198CDE0" w:rsidR="00922B29" w:rsidRPr="006B5995" w:rsidRDefault="00922B29" w:rsidP="0031317F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4.1%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6FAC46"/>
              <w:right w:val="single" w:sz="8" w:space="0" w:color="6FAC46"/>
            </w:tcBorders>
            <w:shd w:val="clear" w:color="000000" w:fill="FCE4D6"/>
            <w:vAlign w:val="center"/>
          </w:tcPr>
          <w:p w14:paraId="3295C147" w14:textId="6F4779A5" w:rsidR="00922B29" w:rsidRPr="006B5995" w:rsidRDefault="00922B29" w:rsidP="0031317F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9.7%</w:t>
            </w:r>
          </w:p>
        </w:tc>
      </w:tr>
      <w:tr w:rsidR="00922B29" w:rsidRPr="00753D49" w14:paraId="01C254A6" w14:textId="77777777" w:rsidTr="00E54364">
        <w:trPr>
          <w:trHeight w:val="300"/>
        </w:trPr>
        <w:tc>
          <w:tcPr>
            <w:tcW w:w="5235" w:type="dxa"/>
            <w:tcBorders>
              <w:top w:val="nil"/>
              <w:left w:val="single" w:sz="8" w:space="0" w:color="6FAC46"/>
              <w:bottom w:val="single" w:sz="8" w:space="0" w:color="6FAC46"/>
              <w:right w:val="single" w:sz="8" w:space="0" w:color="6FAC46"/>
            </w:tcBorders>
            <w:shd w:val="clear" w:color="auto" w:fill="auto"/>
            <w:vAlign w:val="center"/>
            <w:hideMark/>
          </w:tcPr>
          <w:p w14:paraId="20C5B201" w14:textId="77777777" w:rsidR="00922B29" w:rsidRPr="006B5995" w:rsidRDefault="00922B29" w:rsidP="0031317F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6B5995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The mean gender bonus gap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6FAC46"/>
              <w:right w:val="single" w:sz="4" w:space="0" w:color="auto"/>
            </w:tcBorders>
            <w:shd w:val="clear" w:color="auto" w:fill="auto"/>
            <w:vAlign w:val="center"/>
          </w:tcPr>
          <w:p w14:paraId="581D5955" w14:textId="21EA4F9B" w:rsidR="00922B29" w:rsidRPr="006B5995" w:rsidRDefault="00922B29" w:rsidP="0031317F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6B5995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67%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0C9E" w14:textId="2E49E592" w:rsidR="00922B29" w:rsidRPr="006B5995" w:rsidRDefault="00922B29" w:rsidP="0031317F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0.0%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6FAC46"/>
              <w:right w:val="single" w:sz="8" w:space="0" w:color="6FAC46"/>
            </w:tcBorders>
            <w:shd w:val="clear" w:color="000000" w:fill="FCE4D6"/>
            <w:vAlign w:val="center"/>
          </w:tcPr>
          <w:p w14:paraId="78F8F455" w14:textId="64C0C99E" w:rsidR="00922B29" w:rsidRPr="006B5995" w:rsidRDefault="00922B29" w:rsidP="0031317F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-</w:t>
            </w:r>
            <w:r w:rsidRPr="006B5995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67%</w:t>
            </w:r>
          </w:p>
        </w:tc>
      </w:tr>
      <w:tr w:rsidR="00922B29" w:rsidRPr="00753D49" w14:paraId="7B58804C" w14:textId="77777777" w:rsidTr="00E54364">
        <w:trPr>
          <w:trHeight w:val="300"/>
        </w:trPr>
        <w:tc>
          <w:tcPr>
            <w:tcW w:w="5235" w:type="dxa"/>
            <w:tcBorders>
              <w:top w:val="nil"/>
              <w:left w:val="single" w:sz="8" w:space="0" w:color="6FAC46"/>
              <w:bottom w:val="single" w:sz="8" w:space="0" w:color="6FAC46"/>
              <w:right w:val="single" w:sz="8" w:space="0" w:color="6FAC46"/>
            </w:tcBorders>
            <w:shd w:val="clear" w:color="auto" w:fill="auto"/>
            <w:vAlign w:val="center"/>
            <w:hideMark/>
          </w:tcPr>
          <w:p w14:paraId="600E6AD0" w14:textId="77777777" w:rsidR="00922B29" w:rsidRPr="006B5995" w:rsidRDefault="00922B29" w:rsidP="0031317F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6B5995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The median gender bonus gap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6FAC46"/>
              <w:right w:val="single" w:sz="4" w:space="0" w:color="auto"/>
            </w:tcBorders>
            <w:shd w:val="clear" w:color="auto" w:fill="auto"/>
            <w:vAlign w:val="center"/>
          </w:tcPr>
          <w:p w14:paraId="27F57165" w14:textId="7EA1238B" w:rsidR="00922B29" w:rsidRPr="006B5995" w:rsidRDefault="00922B29" w:rsidP="0031317F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6B5995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38%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0737" w14:textId="30EB12E1" w:rsidR="00922B29" w:rsidRPr="006B5995" w:rsidRDefault="00922B29" w:rsidP="0031317F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0.0%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6FAC46"/>
              <w:right w:val="single" w:sz="8" w:space="0" w:color="6FAC46"/>
            </w:tcBorders>
            <w:shd w:val="clear" w:color="000000" w:fill="FCE4D6"/>
            <w:vAlign w:val="center"/>
          </w:tcPr>
          <w:p w14:paraId="0E0BF23B" w14:textId="21870A9D" w:rsidR="00922B29" w:rsidRPr="006B5995" w:rsidRDefault="00922B29" w:rsidP="0031317F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-</w:t>
            </w:r>
            <w:r w:rsidRPr="006B5995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38%</w:t>
            </w:r>
          </w:p>
        </w:tc>
      </w:tr>
      <w:tr w:rsidR="00922B29" w:rsidRPr="00753D49" w14:paraId="5B730DEE" w14:textId="77777777" w:rsidTr="00E54364">
        <w:trPr>
          <w:trHeight w:val="300"/>
        </w:trPr>
        <w:tc>
          <w:tcPr>
            <w:tcW w:w="5235" w:type="dxa"/>
            <w:tcBorders>
              <w:top w:val="nil"/>
              <w:left w:val="single" w:sz="8" w:space="0" w:color="6FAC46"/>
              <w:bottom w:val="single" w:sz="8" w:space="0" w:color="6FAC46"/>
              <w:right w:val="single" w:sz="8" w:space="0" w:color="6FAC46"/>
            </w:tcBorders>
            <w:shd w:val="clear" w:color="auto" w:fill="auto"/>
            <w:vAlign w:val="center"/>
            <w:hideMark/>
          </w:tcPr>
          <w:p w14:paraId="21148938" w14:textId="77777777" w:rsidR="00922B29" w:rsidRPr="006B5995" w:rsidRDefault="00922B29" w:rsidP="0031317F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6B5995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The proportion of male employees receiving a bonus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6FAC46"/>
              <w:right w:val="single" w:sz="4" w:space="0" w:color="auto"/>
            </w:tcBorders>
            <w:shd w:val="clear" w:color="auto" w:fill="auto"/>
            <w:vAlign w:val="center"/>
          </w:tcPr>
          <w:p w14:paraId="6CA3D489" w14:textId="762DC02C" w:rsidR="00922B29" w:rsidRPr="006B5995" w:rsidRDefault="00922B29" w:rsidP="0031317F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6B5995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0.9%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D276" w14:textId="7FFA039E" w:rsidR="00922B29" w:rsidRDefault="00922B29" w:rsidP="0031317F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0.0%</w:t>
            </w:r>
          </w:p>
          <w:p w14:paraId="5F406A6D" w14:textId="5D3BF7AF" w:rsidR="00922B29" w:rsidRPr="006B5995" w:rsidRDefault="00922B29" w:rsidP="00FB7061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6FAC46"/>
              <w:right w:val="single" w:sz="8" w:space="0" w:color="6FAC46"/>
            </w:tcBorders>
            <w:shd w:val="clear" w:color="000000" w:fill="FCE4D6"/>
            <w:vAlign w:val="center"/>
          </w:tcPr>
          <w:p w14:paraId="641D848D" w14:textId="19EA8F12" w:rsidR="00922B29" w:rsidRPr="006B5995" w:rsidRDefault="00922B29" w:rsidP="0031317F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-</w:t>
            </w:r>
            <w:r w:rsidRPr="006B5995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0.9%</w:t>
            </w:r>
          </w:p>
        </w:tc>
      </w:tr>
      <w:tr w:rsidR="00922B29" w:rsidRPr="00753D49" w14:paraId="62B90D49" w14:textId="77777777" w:rsidTr="00E54364">
        <w:trPr>
          <w:trHeight w:val="300"/>
        </w:trPr>
        <w:tc>
          <w:tcPr>
            <w:tcW w:w="5235" w:type="dxa"/>
            <w:tcBorders>
              <w:top w:val="nil"/>
              <w:left w:val="single" w:sz="8" w:space="0" w:color="6FAC46"/>
              <w:bottom w:val="single" w:sz="8" w:space="0" w:color="6FAC46"/>
              <w:right w:val="single" w:sz="8" w:space="0" w:color="6FAC46"/>
            </w:tcBorders>
            <w:shd w:val="clear" w:color="auto" w:fill="auto"/>
            <w:vAlign w:val="center"/>
            <w:hideMark/>
          </w:tcPr>
          <w:p w14:paraId="04FEB774" w14:textId="77777777" w:rsidR="00922B29" w:rsidRPr="006B5995" w:rsidRDefault="00922B29" w:rsidP="0031317F">
            <w:pPr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6B5995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The proportion of female employees receiving a bonus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6FAC46"/>
              <w:right w:val="single" w:sz="4" w:space="0" w:color="auto"/>
            </w:tcBorders>
            <w:shd w:val="clear" w:color="auto" w:fill="auto"/>
            <w:vAlign w:val="center"/>
          </w:tcPr>
          <w:p w14:paraId="6B8B6EA0" w14:textId="44B5B3FD" w:rsidR="00922B29" w:rsidRPr="006B5995" w:rsidRDefault="00922B29" w:rsidP="0031317F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6B5995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0.5%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CF90" w14:textId="5C8A7B41" w:rsidR="00922B29" w:rsidRPr="00FB7061" w:rsidRDefault="00922B29" w:rsidP="0031317F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FB7061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0.0%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6FAC46"/>
              <w:right w:val="single" w:sz="8" w:space="0" w:color="6FAC46"/>
            </w:tcBorders>
            <w:shd w:val="clear" w:color="000000" w:fill="FCE4D6"/>
            <w:vAlign w:val="center"/>
          </w:tcPr>
          <w:p w14:paraId="5F1FD19B" w14:textId="76D37921" w:rsidR="00922B29" w:rsidRPr="006B5995" w:rsidRDefault="00922B29" w:rsidP="0031317F">
            <w:pPr>
              <w:spacing w:after="0" w:line="240" w:lineRule="auto"/>
              <w:jc w:val="right"/>
              <w:rPr>
                <w:rFonts w:ascii="Open Sans" w:eastAsia="Times New Roman" w:hAnsi="Open Sans" w:cs="Open Sans"/>
                <w:color w:val="FF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-</w:t>
            </w:r>
            <w:r w:rsidRPr="006B5995"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0.</w:t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5</w:t>
            </w:r>
            <w:r w:rsidRPr="006B5995"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%</w:t>
            </w:r>
          </w:p>
        </w:tc>
      </w:tr>
    </w:tbl>
    <w:p w14:paraId="7B1F59C0" w14:textId="3FF0C83D" w:rsidR="00212BF7" w:rsidRPr="00753D49" w:rsidRDefault="00212BF7" w:rsidP="00212BF7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</w:rPr>
      </w:pPr>
    </w:p>
    <w:p w14:paraId="133EABC6" w14:textId="77777777" w:rsidR="00BB390F" w:rsidRPr="00753D49" w:rsidRDefault="00BB390F" w:rsidP="00212BF7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</w:rPr>
      </w:pPr>
    </w:p>
    <w:p w14:paraId="7A4FC268" w14:textId="77777777" w:rsidR="00753D49" w:rsidRDefault="00753D49" w:rsidP="00BB390F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</w:rPr>
      </w:pPr>
    </w:p>
    <w:p w14:paraId="2B74EEB1" w14:textId="77777777" w:rsidR="006922A6" w:rsidRDefault="006922A6" w:rsidP="00BB390F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</w:rPr>
      </w:pPr>
    </w:p>
    <w:p w14:paraId="36A1A8B0" w14:textId="77777777" w:rsidR="00404116" w:rsidRDefault="00404116" w:rsidP="00BB390F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i/>
          <w:iCs/>
        </w:rPr>
      </w:pPr>
    </w:p>
    <w:p w14:paraId="7EB54799" w14:textId="2880F106" w:rsidR="0031317F" w:rsidRDefault="00212BF7" w:rsidP="00BB390F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i/>
          <w:iCs/>
        </w:rPr>
      </w:pPr>
      <w:r w:rsidRPr="006922A6">
        <w:rPr>
          <w:rFonts w:ascii="Open Sans" w:hAnsi="Open Sans" w:cs="Open Sans"/>
          <w:i/>
          <w:iCs/>
        </w:rPr>
        <w:t>Table 2 – Pay quartiles for 202</w:t>
      </w:r>
      <w:r w:rsidR="00200DD1">
        <w:rPr>
          <w:rFonts w:ascii="Open Sans" w:hAnsi="Open Sans" w:cs="Open Sans"/>
          <w:i/>
          <w:iCs/>
        </w:rPr>
        <w:t>1</w:t>
      </w:r>
      <w:r w:rsidR="00127B15" w:rsidRPr="006922A6">
        <w:rPr>
          <w:rFonts w:ascii="Open Sans" w:hAnsi="Open Sans" w:cs="Open Sans"/>
          <w:i/>
          <w:iCs/>
        </w:rPr>
        <w:t xml:space="preserve"> and 202</w:t>
      </w:r>
      <w:r w:rsidR="00200DD1">
        <w:rPr>
          <w:rFonts w:ascii="Open Sans" w:hAnsi="Open Sans" w:cs="Open Sans"/>
          <w:i/>
          <w:iCs/>
        </w:rPr>
        <w:t>2</w:t>
      </w:r>
    </w:p>
    <w:p w14:paraId="057F9C26" w14:textId="0B9621C5" w:rsidR="00983B7A" w:rsidRDefault="00983B7A" w:rsidP="00BB390F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i/>
          <w:iCs/>
        </w:rPr>
      </w:pPr>
    </w:p>
    <w:p w14:paraId="199A2C61" w14:textId="77777777" w:rsidR="00983B7A" w:rsidRPr="006922A6" w:rsidRDefault="00983B7A" w:rsidP="00BB390F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i/>
          <w:iCs/>
        </w:rPr>
      </w:pPr>
    </w:p>
    <w:tbl>
      <w:tblPr>
        <w:tblW w:w="9608" w:type="dxa"/>
        <w:tbl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single" w:sz="8" w:space="0" w:color="70AD47" w:themeColor="accent6"/>
          <w:insideV w:val="single" w:sz="8" w:space="0" w:color="70AD47" w:themeColor="accent6"/>
        </w:tblBorders>
        <w:tblLook w:val="04A0" w:firstRow="1" w:lastRow="0" w:firstColumn="1" w:lastColumn="0" w:noHBand="0" w:noVBand="1"/>
      </w:tblPr>
      <w:tblGrid>
        <w:gridCol w:w="831"/>
        <w:gridCol w:w="4039"/>
        <w:gridCol w:w="1114"/>
        <w:gridCol w:w="1124"/>
        <w:gridCol w:w="1202"/>
        <w:gridCol w:w="1298"/>
      </w:tblGrid>
      <w:tr w:rsidR="002E6873" w:rsidRPr="00753D49" w14:paraId="44AB36E5" w14:textId="77777777" w:rsidTr="005717B9">
        <w:trPr>
          <w:trHeight w:val="530"/>
        </w:trPr>
        <w:tc>
          <w:tcPr>
            <w:tcW w:w="832" w:type="dxa"/>
            <w:vMerge w:val="restart"/>
            <w:shd w:val="clear" w:color="auto" w:fill="auto"/>
            <w:vAlign w:val="center"/>
            <w:hideMark/>
          </w:tcPr>
          <w:p w14:paraId="7B601BD2" w14:textId="77777777" w:rsidR="002E6873" w:rsidRPr="005717B9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</w:pPr>
            <w:r w:rsidRPr="005717B9"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  <w:t>Band</w:t>
            </w:r>
          </w:p>
        </w:tc>
        <w:tc>
          <w:tcPr>
            <w:tcW w:w="4131" w:type="dxa"/>
            <w:vMerge w:val="restart"/>
            <w:shd w:val="clear" w:color="auto" w:fill="auto"/>
            <w:vAlign w:val="center"/>
            <w:hideMark/>
          </w:tcPr>
          <w:p w14:paraId="311845FE" w14:textId="77777777" w:rsidR="002E6873" w:rsidRPr="005717B9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</w:pPr>
            <w:r w:rsidRPr="005717B9"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  <w:t xml:space="preserve"> Description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  <w:hideMark/>
          </w:tcPr>
          <w:p w14:paraId="0B42011C" w14:textId="29DAE40C" w:rsidR="002E6873" w:rsidRPr="005717B9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</w:pPr>
            <w:r w:rsidRPr="005717B9"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  <w:t xml:space="preserve">Data as of March </w:t>
            </w:r>
            <w:r w:rsidR="00DF1F64"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  <w:t>2021</w:t>
            </w:r>
          </w:p>
        </w:tc>
        <w:tc>
          <w:tcPr>
            <w:tcW w:w="2518" w:type="dxa"/>
            <w:gridSpan w:val="2"/>
            <w:shd w:val="clear" w:color="auto" w:fill="auto"/>
            <w:vAlign w:val="center"/>
            <w:hideMark/>
          </w:tcPr>
          <w:p w14:paraId="7E314EDC" w14:textId="4D6B59FB" w:rsidR="002E6873" w:rsidRPr="005717B9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</w:pPr>
            <w:r w:rsidRPr="005717B9"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  <w:t>Data as of March 20</w:t>
            </w:r>
            <w:r w:rsidR="00B122B1" w:rsidRPr="005717B9"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  <w:t>2</w:t>
            </w:r>
            <w:r w:rsidR="00DF1F64"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  <w:t>2</w:t>
            </w:r>
          </w:p>
        </w:tc>
      </w:tr>
      <w:tr w:rsidR="002E6873" w:rsidRPr="00753D49" w14:paraId="1F35AFE5" w14:textId="77777777" w:rsidTr="005717B9">
        <w:trPr>
          <w:trHeight w:val="530"/>
        </w:trPr>
        <w:tc>
          <w:tcPr>
            <w:tcW w:w="832" w:type="dxa"/>
            <w:vMerge/>
            <w:shd w:val="clear" w:color="auto" w:fill="auto"/>
            <w:vAlign w:val="center"/>
            <w:hideMark/>
          </w:tcPr>
          <w:p w14:paraId="7765DB76" w14:textId="77777777" w:rsidR="002E6873" w:rsidRPr="005717B9" w:rsidRDefault="002E6873" w:rsidP="002E6873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</w:pPr>
          </w:p>
        </w:tc>
        <w:tc>
          <w:tcPr>
            <w:tcW w:w="4131" w:type="dxa"/>
            <w:vMerge/>
            <w:shd w:val="clear" w:color="auto" w:fill="auto"/>
            <w:vAlign w:val="center"/>
            <w:hideMark/>
          </w:tcPr>
          <w:p w14:paraId="19A129C4" w14:textId="77777777" w:rsidR="002E6873" w:rsidRPr="005717B9" w:rsidRDefault="002E6873" w:rsidP="002E6873">
            <w:pPr>
              <w:spacing w:after="0" w:line="240" w:lineRule="auto"/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</w:pPr>
          </w:p>
        </w:tc>
        <w:tc>
          <w:tcPr>
            <w:tcW w:w="1123" w:type="dxa"/>
            <w:shd w:val="clear" w:color="auto" w:fill="auto"/>
            <w:vAlign w:val="center"/>
            <w:hideMark/>
          </w:tcPr>
          <w:p w14:paraId="56CC0D42" w14:textId="77777777" w:rsidR="002E6873" w:rsidRPr="005717B9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</w:pPr>
            <w:r w:rsidRPr="005717B9"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  <w:t>Males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14:paraId="6D257AA2" w14:textId="77777777" w:rsidR="002E6873" w:rsidRPr="005717B9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</w:pPr>
            <w:r w:rsidRPr="005717B9"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  <w:t>Females</w:t>
            </w:r>
          </w:p>
        </w:tc>
        <w:tc>
          <w:tcPr>
            <w:tcW w:w="1214" w:type="dxa"/>
            <w:shd w:val="clear" w:color="auto" w:fill="auto"/>
            <w:vAlign w:val="center"/>
            <w:hideMark/>
          </w:tcPr>
          <w:p w14:paraId="51DE9B00" w14:textId="77777777" w:rsidR="002E6873" w:rsidRPr="005717B9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</w:pPr>
            <w:r w:rsidRPr="005717B9"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  <w:t>Males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14:paraId="63ED3C78" w14:textId="77777777" w:rsidR="002E6873" w:rsidRPr="005717B9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</w:pPr>
            <w:r w:rsidRPr="005717B9">
              <w:rPr>
                <w:rFonts w:ascii="Open Sans" w:eastAsia="Times New Roman" w:hAnsi="Open Sans" w:cs="Open Sans"/>
                <w:b/>
                <w:bCs/>
                <w:color w:val="70AD47" w:themeColor="accent6"/>
                <w:sz w:val="24"/>
                <w:szCs w:val="24"/>
                <w:lang w:eastAsia="en-GB"/>
              </w:rPr>
              <w:t>Females</w:t>
            </w:r>
          </w:p>
        </w:tc>
      </w:tr>
      <w:tr w:rsidR="002E6873" w:rsidRPr="00753D49" w14:paraId="0B7BEA8B" w14:textId="77777777" w:rsidTr="00FB7061">
        <w:trPr>
          <w:trHeight w:val="530"/>
        </w:trPr>
        <w:tc>
          <w:tcPr>
            <w:tcW w:w="832" w:type="dxa"/>
            <w:shd w:val="clear" w:color="auto" w:fill="auto"/>
            <w:vAlign w:val="center"/>
            <w:hideMark/>
          </w:tcPr>
          <w:p w14:paraId="69A9B809" w14:textId="77777777" w:rsidR="002E6873" w:rsidRPr="005717B9" w:rsidRDefault="002E6873" w:rsidP="002E6873">
            <w:pPr>
              <w:spacing w:after="0" w:line="240" w:lineRule="auto"/>
              <w:jc w:val="both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5717B9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A</w:t>
            </w:r>
          </w:p>
        </w:tc>
        <w:tc>
          <w:tcPr>
            <w:tcW w:w="4131" w:type="dxa"/>
            <w:shd w:val="clear" w:color="auto" w:fill="auto"/>
            <w:vAlign w:val="center"/>
            <w:hideMark/>
          </w:tcPr>
          <w:p w14:paraId="2F0614ED" w14:textId="77777777" w:rsidR="002E6873" w:rsidRPr="005717B9" w:rsidRDefault="002E6873" w:rsidP="002E6873">
            <w:pPr>
              <w:spacing w:after="0" w:line="240" w:lineRule="auto"/>
              <w:jc w:val="both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5717B9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 xml:space="preserve">Includes all employees whose standard hourly rate places them at or below the </w:t>
            </w:r>
            <w:r w:rsidRPr="005717B9">
              <w:rPr>
                <w:rFonts w:ascii="Open Sans" w:eastAsia="Times New Roman" w:hAnsi="Open Sans" w:cs="Open Sans"/>
                <w:b/>
                <w:bCs/>
                <w:color w:val="70AD47"/>
                <w:sz w:val="24"/>
                <w:szCs w:val="24"/>
                <w:lang w:eastAsia="en-GB"/>
              </w:rPr>
              <w:t>lower quartile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04F0BBC6" w14:textId="77777777" w:rsidR="001E7578" w:rsidRDefault="00DF1F64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175D91E8" w14:textId="4613E97A" w:rsidR="002E6873" w:rsidRPr="005717B9" w:rsidRDefault="00DF1F64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35%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5D63AD06" w14:textId="693648EE" w:rsidR="00DF1F64" w:rsidRDefault="00DF1F64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</w:p>
          <w:p w14:paraId="64B251AF" w14:textId="77777777" w:rsidR="001E7578" w:rsidRDefault="001E7578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</w:p>
          <w:p w14:paraId="2C756405" w14:textId="2260553A" w:rsidR="002E6873" w:rsidRDefault="00DF1F64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65%</w:t>
            </w:r>
          </w:p>
          <w:p w14:paraId="7BB32188" w14:textId="519A6DDC" w:rsidR="00DF1F64" w:rsidRPr="005717B9" w:rsidRDefault="00DF1F64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14" w:type="dxa"/>
            <w:shd w:val="clear" w:color="auto" w:fill="auto"/>
            <w:vAlign w:val="center"/>
          </w:tcPr>
          <w:p w14:paraId="0870010A" w14:textId="18F3D6AB" w:rsidR="002E6873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</w:p>
          <w:p w14:paraId="221A5DB6" w14:textId="1D89B8BB" w:rsidR="00DF1F64" w:rsidRPr="005717B9" w:rsidRDefault="00DF1F64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32%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2E1AB49C" w14:textId="723FA4CF" w:rsidR="002E6873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</w:p>
          <w:p w14:paraId="6889D9F8" w14:textId="198B22A4" w:rsidR="00DF1F64" w:rsidRPr="005717B9" w:rsidRDefault="00DF1F64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68%</w:t>
            </w:r>
          </w:p>
        </w:tc>
      </w:tr>
      <w:tr w:rsidR="002E6873" w:rsidRPr="00753D49" w14:paraId="28EE76F1" w14:textId="77777777" w:rsidTr="00FB7061">
        <w:trPr>
          <w:trHeight w:val="530"/>
        </w:trPr>
        <w:tc>
          <w:tcPr>
            <w:tcW w:w="832" w:type="dxa"/>
            <w:shd w:val="clear" w:color="auto" w:fill="auto"/>
            <w:vAlign w:val="center"/>
            <w:hideMark/>
          </w:tcPr>
          <w:p w14:paraId="2BE19C1B" w14:textId="77777777" w:rsidR="002E6873" w:rsidRPr="005717B9" w:rsidRDefault="002E6873" w:rsidP="002E6873">
            <w:pPr>
              <w:spacing w:after="0" w:line="240" w:lineRule="auto"/>
              <w:jc w:val="both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5717B9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B</w:t>
            </w:r>
          </w:p>
        </w:tc>
        <w:tc>
          <w:tcPr>
            <w:tcW w:w="4131" w:type="dxa"/>
            <w:shd w:val="clear" w:color="auto" w:fill="auto"/>
            <w:vAlign w:val="center"/>
            <w:hideMark/>
          </w:tcPr>
          <w:p w14:paraId="092E87D6" w14:textId="77777777" w:rsidR="002E6873" w:rsidRPr="005717B9" w:rsidRDefault="002E6873" w:rsidP="002E6873">
            <w:pPr>
              <w:spacing w:after="0" w:line="240" w:lineRule="auto"/>
              <w:jc w:val="both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5717B9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 xml:space="preserve">Includes all employees whose standard hourly rate places them in the </w:t>
            </w:r>
            <w:r w:rsidRPr="005717B9">
              <w:rPr>
                <w:rFonts w:ascii="Open Sans" w:eastAsia="Times New Roman" w:hAnsi="Open Sans" w:cs="Open Sans"/>
                <w:b/>
                <w:bCs/>
                <w:color w:val="70AD47"/>
                <w:sz w:val="24"/>
                <w:szCs w:val="24"/>
                <w:lang w:eastAsia="en-GB"/>
              </w:rPr>
              <w:t>lower middle quartile</w:t>
            </w:r>
            <w:r w:rsidRPr="005717B9">
              <w:rPr>
                <w:rFonts w:ascii="Open Sans" w:eastAsia="Times New Roman" w:hAnsi="Open Sans" w:cs="Open Sans"/>
                <w:color w:val="70AD47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68DB8201" w14:textId="0EA27BA9" w:rsidR="002E6873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</w:p>
          <w:p w14:paraId="591DCFEB" w14:textId="7609F299" w:rsidR="00DF1F64" w:rsidRPr="005717B9" w:rsidRDefault="00DF1F64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39%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6A9D9E89" w14:textId="0A6EA996" w:rsidR="002E6873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</w:p>
          <w:p w14:paraId="67BE4688" w14:textId="4E58118C" w:rsidR="00DF1F64" w:rsidRPr="005717B9" w:rsidRDefault="00DF1F64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61%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62A34384" w14:textId="2A4C25E6" w:rsidR="002E6873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</w:p>
          <w:p w14:paraId="09A4B949" w14:textId="723EFF34" w:rsidR="00DF1F64" w:rsidRPr="005717B9" w:rsidRDefault="00DF1F64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36%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2B3892F" w14:textId="2E793BCD" w:rsidR="002E6873" w:rsidRDefault="002E6873" w:rsidP="00B50968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</w:p>
          <w:p w14:paraId="0F64CBE3" w14:textId="6BA0673D" w:rsidR="00DF1F64" w:rsidRPr="005717B9" w:rsidRDefault="00DF1F64" w:rsidP="00B50968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64%</w:t>
            </w:r>
          </w:p>
        </w:tc>
      </w:tr>
      <w:tr w:rsidR="002E6873" w:rsidRPr="00753D49" w14:paraId="5DBA0DEA" w14:textId="77777777" w:rsidTr="00FB7061">
        <w:trPr>
          <w:trHeight w:val="530"/>
        </w:trPr>
        <w:tc>
          <w:tcPr>
            <w:tcW w:w="832" w:type="dxa"/>
            <w:shd w:val="clear" w:color="auto" w:fill="auto"/>
            <w:vAlign w:val="center"/>
            <w:hideMark/>
          </w:tcPr>
          <w:p w14:paraId="5F55CD39" w14:textId="77777777" w:rsidR="002E6873" w:rsidRPr="005717B9" w:rsidRDefault="002E6873" w:rsidP="002E6873">
            <w:pPr>
              <w:spacing w:after="0" w:line="240" w:lineRule="auto"/>
              <w:jc w:val="both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5717B9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C</w:t>
            </w:r>
          </w:p>
        </w:tc>
        <w:tc>
          <w:tcPr>
            <w:tcW w:w="4131" w:type="dxa"/>
            <w:shd w:val="clear" w:color="auto" w:fill="auto"/>
            <w:vAlign w:val="center"/>
            <w:hideMark/>
          </w:tcPr>
          <w:p w14:paraId="79AEDD18" w14:textId="77777777" w:rsidR="002E6873" w:rsidRPr="005717B9" w:rsidRDefault="002E6873" w:rsidP="002E6873">
            <w:pPr>
              <w:spacing w:after="0" w:line="240" w:lineRule="auto"/>
              <w:jc w:val="both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5717B9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 xml:space="preserve">Includes all employees whose standard hourly rate places them in the </w:t>
            </w:r>
            <w:r w:rsidRPr="005717B9">
              <w:rPr>
                <w:rFonts w:ascii="Open Sans" w:eastAsia="Times New Roman" w:hAnsi="Open Sans" w:cs="Open Sans"/>
                <w:b/>
                <w:bCs/>
                <w:color w:val="70AD47"/>
                <w:sz w:val="24"/>
                <w:szCs w:val="24"/>
                <w:lang w:eastAsia="en-GB"/>
              </w:rPr>
              <w:t>upper middle quartile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2529D15F" w14:textId="7BF7E1B0" w:rsidR="002E6873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</w:p>
          <w:p w14:paraId="4464D64F" w14:textId="14D77640" w:rsidR="00DF1F64" w:rsidRPr="005717B9" w:rsidRDefault="00DF1F64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32%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2B1D7A88" w14:textId="6F9A224F" w:rsidR="002E6873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</w:p>
          <w:p w14:paraId="6B7E6073" w14:textId="5C060F14" w:rsidR="00DF1F64" w:rsidRPr="005717B9" w:rsidRDefault="00DF1F64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68%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540ED6CD" w14:textId="072316D5" w:rsidR="002E6873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</w:p>
          <w:p w14:paraId="6A470E1E" w14:textId="443CDCBE" w:rsidR="00DF1F64" w:rsidRPr="005717B9" w:rsidRDefault="00DF1F64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39%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17041BB0" w14:textId="682F8CAB" w:rsidR="002E6873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</w:p>
          <w:p w14:paraId="42F575EE" w14:textId="19F56C02" w:rsidR="00DF1F64" w:rsidRPr="005717B9" w:rsidRDefault="00DF1F64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61%</w:t>
            </w:r>
          </w:p>
        </w:tc>
      </w:tr>
      <w:tr w:rsidR="002E6873" w:rsidRPr="00753D49" w14:paraId="01EFC19C" w14:textId="77777777" w:rsidTr="00FB7061">
        <w:trPr>
          <w:trHeight w:val="530"/>
        </w:trPr>
        <w:tc>
          <w:tcPr>
            <w:tcW w:w="832" w:type="dxa"/>
            <w:shd w:val="clear" w:color="auto" w:fill="auto"/>
            <w:vAlign w:val="center"/>
            <w:hideMark/>
          </w:tcPr>
          <w:p w14:paraId="45B4BDC6" w14:textId="77777777" w:rsidR="002E6873" w:rsidRPr="005717B9" w:rsidRDefault="002E6873" w:rsidP="002E6873">
            <w:pPr>
              <w:spacing w:after="0" w:line="240" w:lineRule="auto"/>
              <w:jc w:val="both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5717B9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D</w:t>
            </w:r>
          </w:p>
        </w:tc>
        <w:tc>
          <w:tcPr>
            <w:tcW w:w="4131" w:type="dxa"/>
            <w:shd w:val="clear" w:color="auto" w:fill="auto"/>
            <w:vAlign w:val="center"/>
            <w:hideMark/>
          </w:tcPr>
          <w:p w14:paraId="41E120C2" w14:textId="77777777" w:rsidR="002E6873" w:rsidRPr="005717B9" w:rsidRDefault="002E6873" w:rsidP="002E6873">
            <w:pPr>
              <w:spacing w:after="0" w:line="240" w:lineRule="auto"/>
              <w:jc w:val="both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 w:rsidRPr="005717B9"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 xml:space="preserve">Includes all employees whose standard hourly rate places them in the </w:t>
            </w:r>
            <w:r w:rsidRPr="005717B9">
              <w:rPr>
                <w:rFonts w:ascii="Open Sans" w:eastAsia="Times New Roman" w:hAnsi="Open Sans" w:cs="Open Sans"/>
                <w:b/>
                <w:bCs/>
                <w:color w:val="70AD47"/>
                <w:sz w:val="24"/>
                <w:szCs w:val="24"/>
                <w:lang w:eastAsia="en-GB"/>
              </w:rPr>
              <w:t>upper quartile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529B8136" w14:textId="03346B2B" w:rsidR="002E6873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</w:p>
          <w:p w14:paraId="74B2856B" w14:textId="409726E4" w:rsidR="00DF1F64" w:rsidRPr="005717B9" w:rsidRDefault="00DF1F64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32%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1191488C" w14:textId="0D000B71" w:rsidR="002E6873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</w:p>
          <w:p w14:paraId="7FB55CFE" w14:textId="1A0EE3D3" w:rsidR="00DF1F64" w:rsidRPr="005717B9" w:rsidRDefault="00DF1F64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68%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04F5192D" w14:textId="5079D9C8" w:rsidR="002E6873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</w:p>
          <w:p w14:paraId="6BBD77AE" w14:textId="0723F1B8" w:rsidR="00DF1F64" w:rsidRPr="005717B9" w:rsidRDefault="00DF1F64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36%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129CD043" w14:textId="60D74383" w:rsidR="002E6873" w:rsidRDefault="002E6873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</w:p>
          <w:p w14:paraId="5EA52E58" w14:textId="75777191" w:rsidR="00DF1F64" w:rsidRPr="005717B9" w:rsidRDefault="00DF1F64" w:rsidP="002E6873">
            <w:pPr>
              <w:spacing w:after="0" w:line="240" w:lineRule="auto"/>
              <w:jc w:val="center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en-GB"/>
              </w:rPr>
              <w:t>64%</w:t>
            </w:r>
          </w:p>
        </w:tc>
      </w:tr>
    </w:tbl>
    <w:p w14:paraId="5FC3FA6D" w14:textId="77777777" w:rsidR="006B5995" w:rsidRDefault="006B5995" w:rsidP="00271D02">
      <w:pPr>
        <w:pStyle w:val="NormalWeb"/>
        <w:spacing w:before="0" w:beforeAutospacing="0" w:after="0" w:afterAutospacing="0"/>
        <w:rPr>
          <w:rFonts w:ascii="Open Sans" w:hAnsi="Open Sans" w:cs="Open Sans"/>
        </w:rPr>
      </w:pPr>
    </w:p>
    <w:p w14:paraId="61313CD3" w14:textId="77777777" w:rsidR="00404116" w:rsidRDefault="00404116" w:rsidP="00271D02">
      <w:pPr>
        <w:pStyle w:val="NormalWeb"/>
        <w:spacing w:before="0" w:beforeAutospacing="0" w:after="0" w:afterAutospacing="0"/>
        <w:rPr>
          <w:rFonts w:ascii="Open Sans" w:hAnsi="Open Sans" w:cs="Open Sans"/>
          <w:i/>
          <w:iCs/>
        </w:rPr>
      </w:pPr>
    </w:p>
    <w:p w14:paraId="3C849EB5" w14:textId="0E7C7233" w:rsidR="00C834E7" w:rsidRDefault="00BB390F" w:rsidP="00271D02">
      <w:pPr>
        <w:pStyle w:val="NormalWeb"/>
        <w:spacing w:before="0" w:beforeAutospacing="0" w:after="0" w:afterAutospacing="0"/>
        <w:rPr>
          <w:rFonts w:ascii="Open Sans" w:hAnsi="Open Sans" w:cs="Open Sans"/>
          <w:i/>
          <w:iCs/>
        </w:rPr>
      </w:pPr>
      <w:r w:rsidRPr="006922A6">
        <w:rPr>
          <w:rFonts w:ascii="Open Sans" w:hAnsi="Open Sans" w:cs="Open Sans"/>
          <w:i/>
          <w:iCs/>
        </w:rPr>
        <w:t xml:space="preserve">Table </w:t>
      </w:r>
      <w:r w:rsidR="00957FE2" w:rsidRPr="006922A6">
        <w:rPr>
          <w:rFonts w:ascii="Open Sans" w:hAnsi="Open Sans" w:cs="Open Sans"/>
          <w:i/>
          <w:iCs/>
        </w:rPr>
        <w:t>3</w:t>
      </w:r>
      <w:r w:rsidRPr="006922A6">
        <w:rPr>
          <w:rFonts w:ascii="Open Sans" w:hAnsi="Open Sans" w:cs="Open Sans"/>
          <w:i/>
          <w:iCs/>
        </w:rPr>
        <w:t xml:space="preserve"> – mean and median statutory calculations for </w:t>
      </w:r>
      <w:r w:rsidR="00957FE2" w:rsidRPr="006922A6">
        <w:rPr>
          <w:rFonts w:ascii="Open Sans" w:hAnsi="Open Sans" w:cs="Open Sans"/>
          <w:i/>
          <w:iCs/>
        </w:rPr>
        <w:t xml:space="preserve">all </w:t>
      </w:r>
      <w:r w:rsidR="00882F86" w:rsidRPr="006922A6">
        <w:rPr>
          <w:rFonts w:ascii="Open Sans" w:hAnsi="Open Sans" w:cs="Open Sans"/>
          <w:i/>
          <w:iCs/>
        </w:rPr>
        <w:t>5</w:t>
      </w:r>
      <w:r w:rsidR="008A1623" w:rsidRPr="006922A6">
        <w:rPr>
          <w:rFonts w:ascii="Open Sans" w:hAnsi="Open Sans" w:cs="Open Sans"/>
          <w:i/>
          <w:iCs/>
        </w:rPr>
        <w:t xml:space="preserve"> reporting years</w:t>
      </w:r>
    </w:p>
    <w:p w14:paraId="5735D8B5" w14:textId="54C1CE0F" w:rsidR="00FF5909" w:rsidRDefault="00FF5909" w:rsidP="00271D02">
      <w:pPr>
        <w:pStyle w:val="NormalWeb"/>
        <w:spacing w:before="0" w:beforeAutospacing="0" w:after="0" w:afterAutospacing="0"/>
        <w:rPr>
          <w:rFonts w:ascii="Open Sans" w:hAnsi="Open Sans" w:cs="Open Sans"/>
          <w:i/>
          <w:iCs/>
        </w:rPr>
      </w:pPr>
    </w:p>
    <w:p w14:paraId="2A0AF7FB" w14:textId="77777777" w:rsidR="00FF5909" w:rsidRDefault="00FF5909" w:rsidP="00271D02">
      <w:pPr>
        <w:pStyle w:val="NormalWeb"/>
        <w:spacing w:before="0" w:beforeAutospacing="0" w:after="0" w:afterAutospacing="0"/>
        <w:rPr>
          <w:rFonts w:ascii="Open Sans" w:hAnsi="Open Sans" w:cs="Open Sans"/>
          <w:i/>
          <w:iCs/>
        </w:rPr>
      </w:pPr>
    </w:p>
    <w:p w14:paraId="126E048C" w14:textId="21B12423" w:rsidR="00983B7A" w:rsidRDefault="00983B7A" w:rsidP="00271D02">
      <w:pPr>
        <w:pStyle w:val="NormalWeb"/>
        <w:spacing w:before="0" w:beforeAutospacing="0" w:after="0" w:afterAutospacing="0"/>
        <w:rPr>
          <w:rFonts w:ascii="Open Sans" w:hAnsi="Open Sans" w:cs="Open Sans"/>
          <w:i/>
          <w:iCs/>
        </w:rPr>
      </w:pPr>
    </w:p>
    <w:p w14:paraId="23C40BD0" w14:textId="097C9F41" w:rsidR="00983B7A" w:rsidRPr="006922A6" w:rsidRDefault="00FF5909" w:rsidP="00271D02">
      <w:pPr>
        <w:pStyle w:val="NormalWeb"/>
        <w:spacing w:before="0" w:beforeAutospacing="0" w:after="0" w:afterAutospacing="0"/>
        <w:rPr>
          <w:rFonts w:ascii="Open Sans" w:hAnsi="Open Sans" w:cs="Open Sans"/>
          <w:i/>
          <w:iCs/>
        </w:rPr>
      </w:pPr>
      <w:r>
        <w:rPr>
          <w:noProof/>
        </w:rPr>
        <w:drawing>
          <wp:inline distT="0" distB="0" distL="0" distR="0" wp14:anchorId="0CF62974" wp14:editId="47AB311F">
            <wp:extent cx="6088380" cy="3726180"/>
            <wp:effectExtent l="0" t="0" r="7620" b="762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06C77E24-4DAC-5106-1E10-B7BD0FBD49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2D30504" w14:textId="2D3EDD0E" w:rsidR="00C834E7" w:rsidRDefault="00C834E7" w:rsidP="00271D02">
      <w:pPr>
        <w:pStyle w:val="NormalWeb"/>
        <w:spacing w:before="0" w:beforeAutospacing="0" w:after="0" w:afterAutospacing="0"/>
        <w:rPr>
          <w:rFonts w:ascii="Open Sans" w:hAnsi="Open Sans" w:cs="Open Sans"/>
        </w:rPr>
      </w:pPr>
    </w:p>
    <w:p w14:paraId="087636E9" w14:textId="3A25426A" w:rsidR="009D48A9" w:rsidRDefault="009D48A9" w:rsidP="00271D02">
      <w:pPr>
        <w:pStyle w:val="NormalWeb"/>
        <w:spacing w:before="0" w:beforeAutospacing="0" w:after="0" w:afterAutospacing="0"/>
        <w:rPr>
          <w:rFonts w:ascii="Open Sans" w:hAnsi="Open Sans" w:cs="Open Sans"/>
        </w:rPr>
      </w:pPr>
    </w:p>
    <w:p w14:paraId="425900BC" w14:textId="0E572008" w:rsidR="00D728C0" w:rsidRDefault="00D728C0" w:rsidP="00D728C0">
      <w:pPr>
        <w:pStyle w:val="NormalWeb"/>
        <w:spacing w:before="0"/>
        <w:ind w:left="-142"/>
        <w:rPr>
          <w:rFonts w:ascii="Open Sans" w:hAnsi="Open Sans" w:cs="Open Sans"/>
          <w:i/>
          <w:iCs/>
          <w:lang w:bidi="en-GB"/>
        </w:rPr>
      </w:pPr>
      <w:r w:rsidRPr="00D728C0">
        <w:rPr>
          <w:rFonts w:ascii="Open Sans" w:hAnsi="Open Sans" w:cs="Open Sans"/>
          <w:i/>
          <w:iCs/>
          <w:lang w:bidi="en-GB"/>
        </w:rPr>
        <w:t xml:space="preserve">Table </w:t>
      </w:r>
      <w:r>
        <w:rPr>
          <w:rFonts w:ascii="Open Sans" w:hAnsi="Open Sans" w:cs="Open Sans"/>
          <w:i/>
          <w:iCs/>
          <w:lang w:bidi="en-GB"/>
        </w:rPr>
        <w:t>4</w:t>
      </w:r>
      <w:r w:rsidRPr="00D728C0">
        <w:rPr>
          <w:rFonts w:ascii="Open Sans" w:hAnsi="Open Sans" w:cs="Open Sans"/>
          <w:i/>
          <w:iCs/>
          <w:lang w:bidi="en-GB"/>
        </w:rPr>
        <w:t xml:space="preserve"> – 202</w:t>
      </w:r>
      <w:r>
        <w:rPr>
          <w:rFonts w:ascii="Open Sans" w:hAnsi="Open Sans" w:cs="Open Sans"/>
          <w:i/>
          <w:iCs/>
          <w:lang w:bidi="en-GB"/>
        </w:rPr>
        <w:t>2</w:t>
      </w:r>
      <w:r w:rsidRPr="00D728C0">
        <w:rPr>
          <w:rFonts w:ascii="Open Sans" w:hAnsi="Open Sans" w:cs="Open Sans"/>
          <w:i/>
          <w:iCs/>
          <w:lang w:bidi="en-GB"/>
        </w:rPr>
        <w:t xml:space="preserve"> – Gender balance per occupational group in accordance with the HESA/UCEA descriptors. The yellow line indicates the female gender profile across the school.</w:t>
      </w:r>
    </w:p>
    <w:p w14:paraId="3F749511" w14:textId="39916042" w:rsidR="00D319D4" w:rsidRDefault="00D319D4" w:rsidP="00D728C0">
      <w:pPr>
        <w:pStyle w:val="NormalWeb"/>
        <w:spacing w:before="0"/>
        <w:ind w:left="-142"/>
        <w:rPr>
          <w:rFonts w:ascii="Open Sans" w:hAnsi="Open Sans" w:cs="Open Sans"/>
          <w:i/>
          <w:iCs/>
          <w:lang w:bidi="en-GB"/>
        </w:rPr>
      </w:pPr>
    </w:p>
    <w:p w14:paraId="1926A071" w14:textId="5E8BEB3B" w:rsidR="00D319D4" w:rsidRPr="00D728C0" w:rsidRDefault="00D319D4" w:rsidP="00D728C0">
      <w:pPr>
        <w:pStyle w:val="NormalWeb"/>
        <w:spacing w:before="0"/>
        <w:ind w:left="-142"/>
        <w:rPr>
          <w:rFonts w:ascii="Open Sans" w:hAnsi="Open Sans" w:cs="Open Sans"/>
          <w:i/>
          <w:iCs/>
          <w:lang w:bidi="en-GB"/>
        </w:rPr>
      </w:pPr>
      <w:r>
        <w:rPr>
          <w:noProof/>
        </w:rPr>
        <w:drawing>
          <wp:inline distT="0" distB="0" distL="0" distR="0" wp14:anchorId="38CC24BB" wp14:editId="76446C9D">
            <wp:extent cx="6576060" cy="3794760"/>
            <wp:effectExtent l="0" t="0" r="15240" b="1524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8DAC3F6E-15A1-7420-1011-9CE92A50AC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43BC2B9" w14:textId="77777777" w:rsidR="00404116" w:rsidRDefault="00404116" w:rsidP="00271D02">
      <w:pPr>
        <w:pStyle w:val="NormalWeb"/>
        <w:spacing w:before="0" w:beforeAutospacing="0" w:after="0" w:afterAutospacing="0"/>
        <w:ind w:left="-142"/>
        <w:rPr>
          <w:rFonts w:ascii="Open Sans" w:hAnsi="Open Sans" w:cs="Open Sans"/>
        </w:rPr>
      </w:pPr>
    </w:p>
    <w:p w14:paraId="53DCFE98" w14:textId="70DDCC5F" w:rsidR="00404116" w:rsidRDefault="00404116" w:rsidP="00271D02">
      <w:pPr>
        <w:pStyle w:val="NormalWeb"/>
        <w:spacing w:before="0" w:beforeAutospacing="0" w:after="0" w:afterAutospacing="0"/>
        <w:ind w:left="-142"/>
        <w:rPr>
          <w:rFonts w:ascii="Open Sans" w:hAnsi="Open Sans" w:cs="Open Sans"/>
        </w:rPr>
      </w:pPr>
    </w:p>
    <w:p w14:paraId="42747012" w14:textId="77777777" w:rsidR="00404116" w:rsidRDefault="00404116" w:rsidP="00271D02">
      <w:pPr>
        <w:pStyle w:val="NormalWeb"/>
        <w:spacing w:before="0" w:beforeAutospacing="0" w:after="0" w:afterAutospacing="0"/>
        <w:ind w:left="-142"/>
        <w:rPr>
          <w:rFonts w:ascii="Open Sans" w:hAnsi="Open Sans" w:cs="Open Sans"/>
        </w:rPr>
      </w:pPr>
    </w:p>
    <w:p w14:paraId="46F87FD9" w14:textId="18EA259C" w:rsidR="00957FE2" w:rsidRDefault="00271D02" w:rsidP="00404116">
      <w:pPr>
        <w:pStyle w:val="NormalWeb"/>
        <w:spacing w:before="0" w:beforeAutospacing="0" w:after="0" w:afterAutospacing="0"/>
        <w:ind w:left="-142"/>
        <w:jc w:val="both"/>
        <w:rPr>
          <w:rFonts w:ascii="Open Sans" w:hAnsi="Open Sans" w:cs="Open Sans"/>
          <w:i/>
          <w:iCs/>
        </w:rPr>
      </w:pPr>
      <w:r w:rsidRPr="00404116">
        <w:rPr>
          <w:rFonts w:ascii="Open Sans" w:hAnsi="Open Sans" w:cs="Open Sans"/>
          <w:i/>
          <w:iCs/>
        </w:rPr>
        <w:t xml:space="preserve">Table </w:t>
      </w:r>
      <w:r w:rsidR="00D728C0">
        <w:rPr>
          <w:rFonts w:ascii="Open Sans" w:hAnsi="Open Sans" w:cs="Open Sans"/>
          <w:i/>
          <w:iCs/>
        </w:rPr>
        <w:t>5</w:t>
      </w:r>
      <w:r w:rsidRPr="00404116">
        <w:rPr>
          <w:rFonts w:ascii="Open Sans" w:hAnsi="Open Sans" w:cs="Open Sans"/>
          <w:i/>
          <w:iCs/>
        </w:rPr>
        <w:t xml:space="preserve"> </w:t>
      </w:r>
      <w:r w:rsidR="00EF6883" w:rsidRPr="00404116">
        <w:rPr>
          <w:rFonts w:ascii="Open Sans" w:hAnsi="Open Sans" w:cs="Open Sans"/>
          <w:i/>
          <w:iCs/>
        </w:rPr>
        <w:t>–</w:t>
      </w:r>
      <w:r w:rsidRPr="00404116">
        <w:rPr>
          <w:rFonts w:ascii="Open Sans" w:hAnsi="Open Sans" w:cs="Open Sans"/>
          <w:i/>
          <w:iCs/>
        </w:rPr>
        <w:t xml:space="preserve"> </w:t>
      </w:r>
      <w:r w:rsidR="00D82EA7" w:rsidRPr="00404116">
        <w:rPr>
          <w:rFonts w:ascii="Open Sans" w:hAnsi="Open Sans" w:cs="Open Sans"/>
          <w:i/>
          <w:iCs/>
        </w:rPr>
        <w:t>202</w:t>
      </w:r>
      <w:r w:rsidR="00DF0B1A" w:rsidRPr="00404116">
        <w:rPr>
          <w:rFonts w:ascii="Open Sans" w:hAnsi="Open Sans" w:cs="Open Sans"/>
          <w:i/>
          <w:iCs/>
        </w:rPr>
        <w:t>1</w:t>
      </w:r>
      <w:r w:rsidR="00EF6883" w:rsidRPr="00404116">
        <w:rPr>
          <w:rFonts w:ascii="Open Sans" w:hAnsi="Open Sans" w:cs="Open Sans"/>
          <w:i/>
          <w:iCs/>
        </w:rPr>
        <w:t xml:space="preserve"> – Gender balance per occupational group in accordance with the HESA/UCEA descriptors. The yellow line indicates the female gender profile across the school.</w:t>
      </w:r>
    </w:p>
    <w:p w14:paraId="6DB27AD6" w14:textId="731F42C0" w:rsidR="00EF03FE" w:rsidRDefault="00EF03FE" w:rsidP="00404116">
      <w:pPr>
        <w:pStyle w:val="NormalWeb"/>
        <w:spacing w:before="0" w:beforeAutospacing="0" w:after="0" w:afterAutospacing="0"/>
        <w:ind w:left="-142"/>
        <w:jc w:val="both"/>
        <w:rPr>
          <w:rFonts w:ascii="Open Sans" w:hAnsi="Open Sans" w:cs="Open Sans"/>
          <w:i/>
          <w:iCs/>
        </w:rPr>
      </w:pPr>
    </w:p>
    <w:p w14:paraId="1150A5E1" w14:textId="5BE57040" w:rsidR="00EF03FE" w:rsidRDefault="00EF03FE" w:rsidP="00404116">
      <w:pPr>
        <w:pStyle w:val="NormalWeb"/>
        <w:spacing w:before="0" w:beforeAutospacing="0" w:after="0" w:afterAutospacing="0"/>
        <w:ind w:left="-142"/>
        <w:jc w:val="both"/>
        <w:rPr>
          <w:rFonts w:ascii="Open Sans" w:hAnsi="Open Sans" w:cs="Open Sans"/>
          <w:i/>
          <w:iCs/>
        </w:rPr>
      </w:pPr>
      <w:r>
        <w:rPr>
          <w:noProof/>
        </w:rPr>
        <w:drawing>
          <wp:inline distT="0" distB="0" distL="0" distR="0" wp14:anchorId="0C103C5E" wp14:editId="26FEDE14">
            <wp:extent cx="6638925" cy="3467100"/>
            <wp:effectExtent l="0" t="0" r="9525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81C7681" w14:textId="26FB3431" w:rsidR="00147A97" w:rsidRDefault="00147A97" w:rsidP="00404116">
      <w:pPr>
        <w:pStyle w:val="NormalWeb"/>
        <w:spacing w:before="0" w:beforeAutospacing="0" w:after="0" w:afterAutospacing="0"/>
        <w:ind w:left="-142"/>
        <w:jc w:val="both"/>
        <w:rPr>
          <w:rFonts w:ascii="Open Sans" w:hAnsi="Open Sans" w:cs="Open Sans"/>
          <w:i/>
          <w:iCs/>
        </w:rPr>
      </w:pPr>
    </w:p>
    <w:p w14:paraId="0C2DA66B" w14:textId="72544081" w:rsidR="00147A97" w:rsidRDefault="00147A97" w:rsidP="00983B7A">
      <w:pPr>
        <w:pStyle w:val="NormalWeb"/>
        <w:spacing w:before="0" w:beforeAutospacing="0" w:after="0" w:afterAutospacing="0"/>
        <w:ind w:left="-142"/>
        <w:jc w:val="both"/>
        <w:rPr>
          <w:rFonts w:ascii="Open Sans" w:hAnsi="Open Sans" w:cs="Open Sans"/>
          <w:i/>
          <w:iCs/>
        </w:rPr>
      </w:pPr>
    </w:p>
    <w:p w14:paraId="670D65B7" w14:textId="77777777" w:rsidR="00983B7A" w:rsidRPr="00983B7A" w:rsidRDefault="00983B7A" w:rsidP="00983B7A">
      <w:pPr>
        <w:pStyle w:val="NormalWeb"/>
        <w:spacing w:before="0" w:beforeAutospacing="0" w:after="0" w:afterAutospacing="0"/>
        <w:ind w:left="-142"/>
        <w:jc w:val="both"/>
        <w:rPr>
          <w:rFonts w:ascii="Open Sans" w:hAnsi="Open Sans" w:cs="Open Sans"/>
          <w:i/>
          <w:iCs/>
        </w:rPr>
      </w:pPr>
    </w:p>
    <w:p w14:paraId="175D3341" w14:textId="5B7FF42F" w:rsidR="00C43432" w:rsidRPr="00753D49" w:rsidRDefault="00C43432" w:rsidP="00C43432">
      <w:pPr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753D49">
        <w:rPr>
          <w:rFonts w:ascii="Open Sans" w:eastAsia="Times New Roman" w:hAnsi="Open Sans" w:cs="Open Sans"/>
          <w:b/>
          <w:bCs/>
          <w:color w:val="70AD47"/>
          <w:sz w:val="24"/>
          <w:szCs w:val="24"/>
          <w:lang w:eastAsia="en-GB"/>
        </w:rPr>
        <w:t>How do we compare?</w:t>
      </w:r>
      <w:r w:rsidRPr="00753D49">
        <w:rPr>
          <w:rFonts w:ascii="Open Sans" w:eastAsia="Times New Roman" w:hAnsi="Open Sans" w:cs="Open Sans"/>
          <w:color w:val="70AD47"/>
          <w:sz w:val="24"/>
          <w:szCs w:val="24"/>
          <w:lang w:eastAsia="en-GB"/>
        </w:rPr>
        <w:t> </w:t>
      </w:r>
    </w:p>
    <w:p w14:paraId="6D83F46A" w14:textId="77777777" w:rsidR="00C43432" w:rsidRPr="00753D49" w:rsidRDefault="00C43432" w:rsidP="00C43432">
      <w:pPr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753D49">
        <w:rPr>
          <w:rFonts w:ascii="Open Sans" w:eastAsia="Times New Roman" w:hAnsi="Open Sans" w:cs="Open Sans"/>
          <w:sz w:val="24"/>
          <w:szCs w:val="24"/>
          <w:lang w:eastAsia="en-GB"/>
        </w:rPr>
        <w:t> </w:t>
      </w:r>
    </w:p>
    <w:p w14:paraId="7A44825C" w14:textId="3A6C7B37" w:rsidR="00C43432" w:rsidRPr="00753D49" w:rsidRDefault="00C43432" w:rsidP="00C43432">
      <w:pPr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753D49">
        <w:rPr>
          <w:rFonts w:ascii="Open Sans" w:eastAsia="Times New Roman" w:hAnsi="Open Sans" w:cs="Open Sans"/>
          <w:sz w:val="24"/>
          <w:szCs w:val="24"/>
          <w:lang w:eastAsia="en-GB"/>
        </w:rPr>
        <w:t>  </w:t>
      </w:r>
    </w:p>
    <w:tbl>
      <w:tblPr>
        <w:tblW w:w="8804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1"/>
        <w:gridCol w:w="2201"/>
        <w:gridCol w:w="2201"/>
        <w:gridCol w:w="2201"/>
      </w:tblGrid>
      <w:tr w:rsidR="00841676" w:rsidRPr="00302905" w14:paraId="4A305DFE" w14:textId="77777777" w:rsidTr="00661C44">
        <w:tc>
          <w:tcPr>
            <w:tcW w:w="2201" w:type="dxa"/>
            <w:tcBorders>
              <w:top w:val="nil"/>
              <w:left w:val="nil"/>
              <w:bottom w:val="nil"/>
              <w:right w:val="single" w:sz="6" w:space="0" w:color="ABABAB"/>
            </w:tcBorders>
            <w:shd w:val="clear" w:color="auto" w:fill="FFFFFF"/>
            <w:vAlign w:val="center"/>
            <w:hideMark/>
          </w:tcPr>
          <w:p w14:paraId="314A0D5E" w14:textId="77777777" w:rsidR="00841676" w:rsidRPr="00753D49" w:rsidRDefault="00841676" w:rsidP="00C43432">
            <w:pPr>
              <w:spacing w:after="0" w:line="240" w:lineRule="auto"/>
              <w:jc w:val="both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 w:rsidRPr="00753D4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 </w:t>
            </w:r>
            <w:r w:rsidRPr="00753D49"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201" w:type="dxa"/>
            <w:tcBorders>
              <w:top w:val="single" w:sz="6" w:space="0" w:color="ABABAB"/>
              <w:left w:val="nil"/>
              <w:bottom w:val="nil"/>
              <w:right w:val="single" w:sz="6" w:space="0" w:color="ABABAB"/>
            </w:tcBorders>
            <w:shd w:val="clear" w:color="auto" w:fill="E2EFD9"/>
            <w:vAlign w:val="center"/>
            <w:hideMark/>
          </w:tcPr>
          <w:p w14:paraId="00EF9210" w14:textId="58024985" w:rsidR="00841676" w:rsidRPr="00753D49" w:rsidRDefault="00841676" w:rsidP="00C43432">
            <w:pPr>
              <w:spacing w:after="0" w:line="240" w:lineRule="auto"/>
              <w:jc w:val="right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 w:rsidRPr="00753D49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>Central in 202</w:t>
            </w:r>
            <w:r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>2</w:t>
            </w:r>
            <w:r w:rsidRPr="00753D49"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201" w:type="dxa"/>
            <w:tcBorders>
              <w:top w:val="single" w:sz="6" w:space="0" w:color="ABABAB"/>
              <w:left w:val="nil"/>
              <w:bottom w:val="nil"/>
              <w:right w:val="single" w:sz="4" w:space="0" w:color="auto"/>
            </w:tcBorders>
            <w:shd w:val="clear" w:color="auto" w:fill="E2EFD9"/>
            <w:vAlign w:val="center"/>
            <w:hideMark/>
          </w:tcPr>
          <w:p w14:paraId="01C32B29" w14:textId="6ACB4B6E" w:rsidR="00841676" w:rsidRPr="00302905" w:rsidRDefault="00841676" w:rsidP="00C43432">
            <w:pPr>
              <w:spacing w:after="0" w:line="240" w:lineRule="auto"/>
              <w:jc w:val="right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 w:rsidRPr="00302905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>2022 ONS* ASHE** whole economy</w:t>
            </w:r>
            <w:r w:rsidRPr="00302905"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201" w:type="dxa"/>
            <w:tcBorders>
              <w:top w:val="single" w:sz="6" w:space="0" w:color="ABABAB"/>
              <w:left w:val="single" w:sz="4" w:space="0" w:color="auto"/>
              <w:bottom w:val="nil"/>
              <w:right w:val="single" w:sz="6" w:space="0" w:color="ABABAB"/>
            </w:tcBorders>
            <w:shd w:val="clear" w:color="auto" w:fill="E2EFD9"/>
            <w:vAlign w:val="center"/>
            <w:hideMark/>
          </w:tcPr>
          <w:p w14:paraId="375B71FA" w14:textId="7F96AC08" w:rsidR="00841676" w:rsidRPr="00302905" w:rsidRDefault="00841676" w:rsidP="00940654">
            <w:pPr>
              <w:spacing w:after="0" w:line="240" w:lineRule="auto"/>
              <w:jc w:val="right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 w:rsidRPr="00302905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>20</w:t>
            </w:r>
            <w:r w:rsidR="00CC0F53" w:rsidRPr="00302905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>20/21</w:t>
            </w:r>
            <w:r w:rsidRPr="00302905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> Higher Education Sector</w:t>
            </w:r>
            <w:r w:rsidRPr="00302905"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 </w:t>
            </w:r>
          </w:p>
        </w:tc>
      </w:tr>
      <w:tr w:rsidR="00841676" w:rsidRPr="00753D49" w14:paraId="79031904" w14:textId="77777777" w:rsidTr="00661C44">
        <w:tc>
          <w:tcPr>
            <w:tcW w:w="22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2EFD9"/>
            <w:vAlign w:val="center"/>
            <w:hideMark/>
          </w:tcPr>
          <w:p w14:paraId="3C92C685" w14:textId="77777777" w:rsidR="00841676" w:rsidRPr="00753D49" w:rsidRDefault="00841676" w:rsidP="006D6620">
            <w:pPr>
              <w:spacing w:after="0" w:line="240" w:lineRule="auto"/>
              <w:jc w:val="both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 w:rsidRPr="00753D49"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Mean gender pay gap </w:t>
            </w:r>
          </w:p>
        </w:tc>
        <w:tc>
          <w:tcPr>
            <w:tcW w:w="22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65D6AFB6" w14:textId="63BC88F1" w:rsidR="00841676" w:rsidRPr="00753D49" w:rsidRDefault="00841676" w:rsidP="006D6620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-1.6%</w:t>
            </w:r>
          </w:p>
        </w:tc>
        <w:tc>
          <w:tcPr>
            <w:tcW w:w="22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781FB952" w14:textId="7399F5E7" w:rsidR="00841676" w:rsidRPr="00753D49" w:rsidRDefault="006F29C8" w:rsidP="006D6620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13.9</w:t>
            </w:r>
            <w:r w:rsidR="00554F07"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22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741587AE" w14:textId="423A4718" w:rsidR="00841676" w:rsidRPr="00753D49" w:rsidRDefault="009A1051" w:rsidP="006D6620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15.4%</w:t>
            </w:r>
          </w:p>
        </w:tc>
      </w:tr>
      <w:tr w:rsidR="00841676" w:rsidRPr="00753D49" w14:paraId="72CB4B71" w14:textId="77777777" w:rsidTr="00661C44">
        <w:tc>
          <w:tcPr>
            <w:tcW w:w="22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2EFD9"/>
            <w:vAlign w:val="center"/>
            <w:hideMark/>
          </w:tcPr>
          <w:p w14:paraId="06E3A392" w14:textId="77777777" w:rsidR="00841676" w:rsidRPr="00753D49" w:rsidRDefault="00841676" w:rsidP="006D6620">
            <w:pPr>
              <w:spacing w:after="0" w:line="240" w:lineRule="auto"/>
              <w:jc w:val="both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 w:rsidRPr="00753D49"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Median gender pay gap </w:t>
            </w:r>
          </w:p>
        </w:tc>
        <w:tc>
          <w:tcPr>
            <w:tcW w:w="22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  <w:hideMark/>
          </w:tcPr>
          <w:p w14:paraId="6606C7EB" w14:textId="0836DF7B" w:rsidR="00841676" w:rsidRPr="00753D49" w:rsidRDefault="00841676" w:rsidP="006D6620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4.1%</w:t>
            </w:r>
          </w:p>
        </w:tc>
        <w:tc>
          <w:tcPr>
            <w:tcW w:w="22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2D305ED6" w14:textId="724738BC" w:rsidR="00841676" w:rsidRPr="00753D49" w:rsidRDefault="00841676" w:rsidP="006D6620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14.9%</w:t>
            </w:r>
          </w:p>
        </w:tc>
        <w:tc>
          <w:tcPr>
            <w:tcW w:w="220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auto"/>
            <w:vAlign w:val="center"/>
          </w:tcPr>
          <w:p w14:paraId="33B2F0C4" w14:textId="366A6300" w:rsidR="00841676" w:rsidRPr="00753D49" w:rsidRDefault="00841676" w:rsidP="006D6620">
            <w:pPr>
              <w:spacing w:after="0" w:line="240" w:lineRule="auto"/>
              <w:jc w:val="center"/>
              <w:textAlignment w:val="baseline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1</w:t>
            </w:r>
            <w:r w:rsidR="00E3649D"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6</w:t>
            </w:r>
            <w:r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  <w:t>.2%</w:t>
            </w:r>
          </w:p>
        </w:tc>
      </w:tr>
    </w:tbl>
    <w:p w14:paraId="7C1A2FC0" w14:textId="77777777" w:rsidR="00C43432" w:rsidRPr="00753D49" w:rsidRDefault="00C43432" w:rsidP="00C43432">
      <w:pPr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753D49">
        <w:rPr>
          <w:rFonts w:ascii="Open Sans" w:eastAsia="Times New Roman" w:hAnsi="Open Sans" w:cs="Open Sans"/>
          <w:sz w:val="24"/>
          <w:szCs w:val="24"/>
          <w:lang w:eastAsia="en-GB"/>
        </w:rPr>
        <w:t> </w:t>
      </w:r>
    </w:p>
    <w:p w14:paraId="13A6C2C7" w14:textId="77777777" w:rsidR="00C43432" w:rsidRPr="0026297C" w:rsidRDefault="00C43432" w:rsidP="00C43432">
      <w:pPr>
        <w:spacing w:after="0" w:line="240" w:lineRule="auto"/>
        <w:jc w:val="both"/>
        <w:textAlignment w:val="baseline"/>
        <w:rPr>
          <w:rFonts w:ascii="Open Sans" w:eastAsia="Times New Roman" w:hAnsi="Open Sans" w:cs="Open Sans"/>
          <w:i/>
          <w:iCs/>
          <w:sz w:val="24"/>
          <w:szCs w:val="24"/>
          <w:lang w:eastAsia="en-GB"/>
        </w:rPr>
      </w:pPr>
      <w:r w:rsidRPr="0026297C">
        <w:rPr>
          <w:rFonts w:ascii="Open Sans" w:eastAsia="Times New Roman" w:hAnsi="Open Sans" w:cs="Open Sans"/>
          <w:i/>
          <w:iCs/>
          <w:sz w:val="24"/>
          <w:szCs w:val="24"/>
          <w:lang w:eastAsia="en-GB"/>
        </w:rPr>
        <w:t>*Office for National Statistics (ONS) ** Annual Survey of Hours and Earnings (ASHE) </w:t>
      </w:r>
    </w:p>
    <w:p w14:paraId="7B6E3C23" w14:textId="77777777" w:rsidR="00554F07" w:rsidRDefault="00C43432" w:rsidP="00554F07">
      <w:pPr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753D49">
        <w:rPr>
          <w:rFonts w:ascii="Open Sans" w:eastAsia="Times New Roman" w:hAnsi="Open Sans" w:cs="Open Sans"/>
          <w:sz w:val="24"/>
          <w:szCs w:val="24"/>
          <w:lang w:eastAsia="en-GB"/>
        </w:rPr>
        <w:t> </w:t>
      </w:r>
    </w:p>
    <w:p w14:paraId="7F8B00AA" w14:textId="5BDCA774" w:rsidR="00C43432" w:rsidRPr="00753D49" w:rsidRDefault="00554F07" w:rsidP="00C43432">
      <w:pPr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554F07">
        <w:rPr>
          <w:rFonts w:ascii="Open Sans" w:eastAsia="Times New Roman" w:hAnsi="Open Sans" w:cs="Open Sans"/>
          <w:sz w:val="24"/>
          <w:szCs w:val="24"/>
          <w:lang w:eastAsia="en-GB"/>
        </w:rPr>
        <w:t>The me</w:t>
      </w:r>
      <w:r w:rsidR="00E70B83">
        <w:rPr>
          <w:rFonts w:ascii="Open Sans" w:eastAsia="Times New Roman" w:hAnsi="Open Sans" w:cs="Open Sans"/>
          <w:sz w:val="24"/>
          <w:szCs w:val="24"/>
          <w:lang w:eastAsia="en-GB"/>
        </w:rPr>
        <w:t>an</w:t>
      </w:r>
      <w:r w:rsidRPr="00554F07">
        <w:rPr>
          <w:rFonts w:ascii="Open Sans" w:eastAsia="Times New Roman" w:hAnsi="Open Sans" w:cs="Open Sans"/>
          <w:sz w:val="24"/>
          <w:szCs w:val="24"/>
          <w:lang w:eastAsia="en-GB"/>
        </w:rPr>
        <w:t xml:space="preserve"> gender pay gap for the whole economy (according to ONS ASHE figures) is </w:t>
      </w:r>
      <w:r w:rsidR="004D1048">
        <w:rPr>
          <w:rFonts w:ascii="Open Sans" w:eastAsia="Times New Roman" w:hAnsi="Open Sans" w:cs="Open Sans"/>
          <w:sz w:val="24"/>
          <w:szCs w:val="24"/>
          <w:lang w:eastAsia="en-GB"/>
        </w:rPr>
        <w:t xml:space="preserve">13.9%. </w:t>
      </w:r>
      <w:r w:rsidRPr="00554F07">
        <w:rPr>
          <w:rFonts w:ascii="Open Sans" w:eastAsia="Times New Roman" w:hAnsi="Open Sans" w:cs="Open Sans"/>
          <w:sz w:val="24"/>
          <w:szCs w:val="24"/>
          <w:lang w:eastAsia="en-GB"/>
        </w:rPr>
        <w:t>At </w:t>
      </w:r>
      <w:r w:rsidR="00003BB4">
        <w:rPr>
          <w:rFonts w:ascii="Open Sans" w:eastAsia="Times New Roman" w:hAnsi="Open Sans" w:cs="Open Sans"/>
          <w:sz w:val="24"/>
          <w:szCs w:val="24"/>
          <w:lang w:eastAsia="en-GB"/>
        </w:rPr>
        <w:t>-1.6</w:t>
      </w:r>
      <w:r w:rsidRPr="00554F07">
        <w:rPr>
          <w:rFonts w:ascii="Open Sans" w:eastAsia="Times New Roman" w:hAnsi="Open Sans" w:cs="Open Sans"/>
          <w:sz w:val="24"/>
          <w:szCs w:val="24"/>
          <w:lang w:eastAsia="en-GB"/>
        </w:rPr>
        <w:t>% Central’s median gender pay gap is, therefore, significantly lower</w:t>
      </w:r>
      <w:r w:rsidR="004D1048">
        <w:rPr>
          <w:rFonts w:ascii="Open Sans" w:eastAsia="Times New Roman" w:hAnsi="Open Sans" w:cs="Open Sans"/>
          <w:sz w:val="24"/>
          <w:szCs w:val="24"/>
          <w:lang w:eastAsia="en-GB"/>
        </w:rPr>
        <w:t>.</w:t>
      </w:r>
    </w:p>
    <w:p w14:paraId="7113C662" w14:textId="77777777" w:rsidR="00C43432" w:rsidRPr="00841676" w:rsidRDefault="00C43432" w:rsidP="00C40E19">
      <w:pPr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841676">
        <w:rPr>
          <w:rFonts w:ascii="Open Sans" w:eastAsia="Times New Roman" w:hAnsi="Open Sans" w:cs="Open Sans"/>
          <w:sz w:val="24"/>
          <w:szCs w:val="24"/>
          <w:lang w:eastAsia="en-GB"/>
        </w:rPr>
        <w:t> </w:t>
      </w:r>
    </w:p>
    <w:p w14:paraId="18DB6832" w14:textId="2F52F2E4" w:rsidR="2789DDC0" w:rsidRDefault="2789DDC0" w:rsidP="1AF5F981">
      <w:pPr>
        <w:spacing w:after="0" w:line="240" w:lineRule="auto"/>
        <w:jc w:val="both"/>
        <w:rPr>
          <w:rFonts w:ascii="Open Sans" w:eastAsia="Open Sans" w:hAnsi="Open Sans" w:cs="Open Sans"/>
          <w:sz w:val="24"/>
          <w:szCs w:val="24"/>
        </w:rPr>
      </w:pPr>
      <w:r w:rsidRPr="437AE889">
        <w:rPr>
          <w:rFonts w:ascii="Open Sans" w:eastAsia="Times New Roman" w:hAnsi="Open Sans" w:cs="Open Sans"/>
          <w:sz w:val="24"/>
          <w:szCs w:val="24"/>
          <w:lang w:eastAsia="en-GB"/>
        </w:rPr>
        <w:t>The median gender pay gap for the whole economy (according to ONS ASHE figures) is 1</w:t>
      </w:r>
      <w:r w:rsidR="2CB6F055" w:rsidRPr="437AE889">
        <w:rPr>
          <w:rFonts w:ascii="Open Sans" w:eastAsia="Times New Roman" w:hAnsi="Open Sans" w:cs="Open Sans"/>
          <w:sz w:val="24"/>
          <w:szCs w:val="24"/>
          <w:lang w:eastAsia="en-GB"/>
        </w:rPr>
        <w:t>4.9</w:t>
      </w:r>
      <w:r w:rsidRPr="437AE889">
        <w:rPr>
          <w:rFonts w:ascii="Open Sans" w:eastAsia="Times New Roman" w:hAnsi="Open Sans" w:cs="Open Sans"/>
          <w:sz w:val="24"/>
          <w:szCs w:val="24"/>
          <w:lang w:eastAsia="en-GB"/>
        </w:rPr>
        <w:t xml:space="preserve">%, </w:t>
      </w:r>
      <w:r w:rsidR="0730FC64" w:rsidRPr="437AE889">
        <w:rPr>
          <w:rFonts w:ascii="Open Sans" w:eastAsia="Times New Roman" w:hAnsi="Open Sans" w:cs="Open Sans"/>
          <w:sz w:val="24"/>
          <w:szCs w:val="24"/>
          <w:lang w:eastAsia="en-GB"/>
        </w:rPr>
        <w:t xml:space="preserve">the HE sector </w:t>
      </w:r>
      <w:r w:rsidR="60F29F37" w:rsidRPr="437AE889">
        <w:rPr>
          <w:rFonts w:ascii="Open Sans" w:eastAsia="Times New Roman" w:hAnsi="Open Sans" w:cs="Open Sans"/>
          <w:sz w:val="24"/>
          <w:szCs w:val="24"/>
          <w:lang w:eastAsia="en-GB"/>
        </w:rPr>
        <w:t>in 2020/21 was</w:t>
      </w:r>
      <w:r w:rsidR="0730FC64" w:rsidRPr="437AE889">
        <w:rPr>
          <w:rFonts w:ascii="Open Sans" w:eastAsia="Times New Roman" w:hAnsi="Open Sans" w:cs="Open Sans"/>
          <w:sz w:val="24"/>
          <w:szCs w:val="24"/>
          <w:lang w:eastAsia="en-GB"/>
        </w:rPr>
        <w:t xml:space="preserve"> 1</w:t>
      </w:r>
      <w:r w:rsidR="170A86DA" w:rsidRPr="437AE889">
        <w:rPr>
          <w:rFonts w:ascii="Open Sans" w:eastAsia="Times New Roman" w:hAnsi="Open Sans" w:cs="Open Sans"/>
          <w:sz w:val="24"/>
          <w:szCs w:val="24"/>
          <w:lang w:eastAsia="en-GB"/>
        </w:rPr>
        <w:t>6</w:t>
      </w:r>
      <w:r w:rsidR="2CB6F055" w:rsidRPr="437AE889">
        <w:rPr>
          <w:rFonts w:ascii="Open Sans" w:eastAsia="Times New Roman" w:hAnsi="Open Sans" w:cs="Open Sans"/>
          <w:sz w:val="24"/>
          <w:szCs w:val="24"/>
          <w:lang w:eastAsia="en-GB"/>
        </w:rPr>
        <w:t>.2</w:t>
      </w:r>
      <w:r w:rsidR="0730FC64" w:rsidRPr="437AE889">
        <w:rPr>
          <w:rFonts w:ascii="Open Sans" w:eastAsia="Times New Roman" w:hAnsi="Open Sans" w:cs="Open Sans"/>
          <w:sz w:val="24"/>
          <w:szCs w:val="24"/>
          <w:lang w:eastAsia="en-GB"/>
        </w:rPr>
        <w:t xml:space="preserve">%. </w:t>
      </w:r>
      <w:r w:rsidRPr="437AE889">
        <w:rPr>
          <w:rFonts w:ascii="Open Sans" w:eastAsia="Times New Roman" w:hAnsi="Open Sans" w:cs="Open Sans"/>
          <w:sz w:val="24"/>
          <w:szCs w:val="24"/>
          <w:lang w:eastAsia="en-GB"/>
        </w:rPr>
        <w:t>At </w:t>
      </w:r>
      <w:r w:rsidR="70627E1B" w:rsidRPr="437AE889">
        <w:rPr>
          <w:rFonts w:ascii="Open Sans" w:eastAsia="Times New Roman" w:hAnsi="Open Sans" w:cs="Open Sans"/>
          <w:sz w:val="24"/>
          <w:szCs w:val="24"/>
          <w:lang w:eastAsia="en-GB"/>
        </w:rPr>
        <w:t>4.1</w:t>
      </w:r>
      <w:r w:rsidR="6B160207" w:rsidRPr="437AE889">
        <w:rPr>
          <w:rFonts w:ascii="Open Sans" w:eastAsia="Times New Roman" w:hAnsi="Open Sans" w:cs="Open Sans"/>
          <w:sz w:val="24"/>
          <w:szCs w:val="24"/>
          <w:lang w:eastAsia="en-GB"/>
        </w:rPr>
        <w:t>%</w:t>
      </w:r>
      <w:r w:rsidRPr="437AE889">
        <w:rPr>
          <w:rFonts w:ascii="Open Sans" w:eastAsia="Times New Roman" w:hAnsi="Open Sans" w:cs="Open Sans"/>
          <w:sz w:val="24"/>
          <w:szCs w:val="24"/>
          <w:lang w:eastAsia="en-GB"/>
        </w:rPr>
        <w:t> Central’s median gender pay gap is, therefore, significantly lower</w:t>
      </w:r>
      <w:r w:rsidR="0730FC64" w:rsidRPr="437AE889">
        <w:rPr>
          <w:rFonts w:ascii="Open Sans" w:eastAsia="Times New Roman" w:hAnsi="Open Sans" w:cs="Open Sans"/>
          <w:sz w:val="24"/>
          <w:szCs w:val="24"/>
          <w:lang w:eastAsia="en-GB"/>
        </w:rPr>
        <w:t xml:space="preserve"> than both the HE sector and the whole economy.</w:t>
      </w:r>
      <w:r w:rsidR="73E9CD24" w:rsidRPr="437AE889">
        <w:rPr>
          <w:rFonts w:ascii="Open Sans" w:eastAsia="Times New Roman" w:hAnsi="Open Sans" w:cs="Open Sans"/>
          <w:sz w:val="24"/>
          <w:szCs w:val="24"/>
          <w:lang w:eastAsia="en-GB"/>
        </w:rPr>
        <w:t xml:space="preserve"> The median </w:t>
      </w:r>
      <w:r w:rsidR="39A7A039" w:rsidRPr="437AE889">
        <w:rPr>
          <w:rFonts w:ascii="Open Sans" w:eastAsia="Times New Roman" w:hAnsi="Open Sans" w:cs="Open Sans"/>
          <w:sz w:val="24"/>
          <w:szCs w:val="24"/>
          <w:lang w:eastAsia="en-GB"/>
        </w:rPr>
        <w:t>gender</w:t>
      </w:r>
      <w:r w:rsidR="73E9CD24" w:rsidRPr="437AE889">
        <w:rPr>
          <w:rFonts w:ascii="Open Sans" w:eastAsia="Times New Roman" w:hAnsi="Open Sans" w:cs="Open Sans"/>
          <w:sz w:val="24"/>
          <w:szCs w:val="24"/>
          <w:lang w:eastAsia="en-GB"/>
        </w:rPr>
        <w:t xml:space="preserve"> pay gap </w:t>
      </w:r>
      <w:r w:rsidR="108636C0" w:rsidRPr="437AE889">
        <w:rPr>
          <w:rFonts w:ascii="Open Sans" w:eastAsia="Times New Roman" w:hAnsi="Open Sans" w:cs="Open Sans"/>
          <w:sz w:val="24"/>
          <w:szCs w:val="24"/>
          <w:lang w:eastAsia="en-GB"/>
        </w:rPr>
        <w:t xml:space="preserve">for Central </w:t>
      </w:r>
      <w:r w:rsidR="73E9CD24" w:rsidRPr="437AE889">
        <w:rPr>
          <w:rFonts w:ascii="Open Sans" w:eastAsia="Times New Roman" w:hAnsi="Open Sans" w:cs="Open Sans"/>
          <w:sz w:val="24"/>
          <w:szCs w:val="24"/>
          <w:lang w:eastAsia="en-GB"/>
        </w:rPr>
        <w:t>may be significantly lower than both the HE sectors and the whole economy due to the fact that a</w:t>
      </w:r>
      <w:r w:rsidR="73E9CD24" w:rsidRPr="437AE889">
        <w:rPr>
          <w:rFonts w:ascii="Open Sans" w:eastAsia="Open Sans" w:hAnsi="Open Sans" w:cs="Open Sans"/>
          <w:sz w:val="24"/>
          <w:szCs w:val="24"/>
        </w:rPr>
        <w:t xml:space="preserve"> significant proportion of Senior members of staff at Central are women in comparison to men. The appointment of a female principal was also large factor.</w:t>
      </w:r>
    </w:p>
    <w:p w14:paraId="2CEE4DE4" w14:textId="77777777" w:rsidR="00C43432" w:rsidRPr="00753D49" w:rsidRDefault="00C43432" w:rsidP="00C43432">
      <w:pPr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753D49">
        <w:rPr>
          <w:rFonts w:ascii="Open Sans" w:eastAsia="Times New Roman" w:hAnsi="Open Sans" w:cs="Open Sans"/>
          <w:sz w:val="24"/>
          <w:szCs w:val="24"/>
          <w:lang w:eastAsia="en-GB"/>
        </w:rPr>
        <w:t> </w:t>
      </w:r>
    </w:p>
    <w:p w14:paraId="4D2EED68" w14:textId="3D3469EC" w:rsidR="00C43432" w:rsidRPr="00351C8A" w:rsidRDefault="007C009F" w:rsidP="00C43432">
      <w:pPr>
        <w:spacing w:after="0" w:line="240" w:lineRule="auto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351C8A">
        <w:rPr>
          <w:rFonts w:ascii="Open Sans" w:eastAsia="Times New Roman" w:hAnsi="Open Sans" w:cs="Open Sans"/>
          <w:b/>
          <w:bCs/>
          <w:color w:val="70AD47"/>
          <w:sz w:val="24"/>
          <w:szCs w:val="24"/>
          <w:lang w:eastAsia="en-GB"/>
        </w:rPr>
        <w:t>Actions</w:t>
      </w:r>
      <w:r w:rsidR="00C43432" w:rsidRPr="00351C8A">
        <w:rPr>
          <w:rFonts w:ascii="Open Sans" w:eastAsia="Times New Roman" w:hAnsi="Open Sans" w:cs="Open Sans"/>
          <w:b/>
          <w:bCs/>
          <w:color w:val="70AD47"/>
          <w:sz w:val="24"/>
          <w:szCs w:val="24"/>
          <w:lang w:eastAsia="en-GB"/>
        </w:rPr>
        <w:t> TAKEN TO DATE</w:t>
      </w:r>
      <w:r w:rsidR="00C43432" w:rsidRPr="00351C8A">
        <w:rPr>
          <w:rFonts w:ascii="Open Sans" w:eastAsia="Times New Roman" w:hAnsi="Open Sans" w:cs="Open Sans"/>
          <w:color w:val="70AD47"/>
          <w:sz w:val="24"/>
          <w:szCs w:val="24"/>
          <w:lang w:eastAsia="en-GB"/>
        </w:rPr>
        <w:t> </w:t>
      </w:r>
    </w:p>
    <w:p w14:paraId="7EF93489" w14:textId="77777777" w:rsidR="00C43432" w:rsidRPr="00351C8A" w:rsidRDefault="00C43432" w:rsidP="00C43432">
      <w:pPr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</w:p>
    <w:p w14:paraId="1C5696DC" w14:textId="3F6846BA" w:rsidR="00C43432" w:rsidRPr="00351C8A" w:rsidRDefault="00435FEC" w:rsidP="00753D49">
      <w:pPr>
        <w:pStyle w:val="ListParagraph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>Implemented c</w:t>
      </w:r>
      <w:r w:rsidR="00C43432" w:rsidRPr="00351C8A">
        <w:rPr>
          <w:rFonts w:ascii="Open Sans" w:eastAsia="Times New Roman" w:hAnsi="Open Sans" w:cs="Open Sans"/>
          <w:sz w:val="24"/>
          <w:szCs w:val="24"/>
          <w:lang w:eastAsia="en-GB"/>
        </w:rPr>
        <w:t>ompulsory unconscious bias training for all staff involved in recruitment and selection procedures (including interview panel members) and pay and promotion committee discussions has taken place. </w:t>
      </w:r>
    </w:p>
    <w:p w14:paraId="1545AA4B" w14:textId="3DBA58D0" w:rsidR="00EA214C" w:rsidRPr="00351C8A" w:rsidRDefault="00EA214C" w:rsidP="00753D49">
      <w:pPr>
        <w:pStyle w:val="ListParagraph"/>
        <w:numPr>
          <w:ilvl w:val="0"/>
          <w:numId w:val="5"/>
        </w:numPr>
        <w:jc w:val="both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>Review</w:t>
      </w:r>
      <w:r w:rsidR="00435FEC" w:rsidRPr="00351C8A">
        <w:rPr>
          <w:rFonts w:ascii="Open Sans" w:eastAsia="Times New Roman" w:hAnsi="Open Sans" w:cs="Open Sans"/>
          <w:sz w:val="24"/>
          <w:szCs w:val="24"/>
          <w:lang w:eastAsia="en-GB"/>
        </w:rPr>
        <w:t>ed</w:t>
      </w: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 advertisement, recruitment and selection procedures to ensure all areas of potential bias and/or prejudice opinion/judgment is eliminated.  Jobs descriptions and advertisements </w:t>
      </w:r>
      <w:r w:rsidR="002E341A" w:rsidRPr="00351C8A">
        <w:rPr>
          <w:rFonts w:ascii="Open Sans" w:eastAsia="Times New Roman" w:hAnsi="Open Sans" w:cs="Open Sans"/>
          <w:sz w:val="24"/>
          <w:szCs w:val="24"/>
          <w:lang w:eastAsia="en-GB"/>
        </w:rPr>
        <w:t>continued to</w:t>
      </w: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 be assessed in order to ensure gender-neutral language is fully embedded.  </w:t>
      </w:r>
      <w:r w:rsidR="002E341A"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We included </w:t>
      </w: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>Positive Action Statement</w:t>
      </w:r>
      <w:r w:rsidR="002E341A" w:rsidRPr="00351C8A">
        <w:rPr>
          <w:rFonts w:ascii="Open Sans" w:eastAsia="Times New Roman" w:hAnsi="Open Sans" w:cs="Open Sans"/>
          <w:sz w:val="24"/>
          <w:szCs w:val="24"/>
          <w:lang w:eastAsia="en-GB"/>
        </w:rPr>
        <w:t>s</w:t>
      </w: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 as part of the advertisement, recruitment and selection process.    </w:t>
      </w:r>
      <w:r w:rsidR="002E341A"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In </w:t>
      </w:r>
      <w:r w:rsidR="0028682F" w:rsidRPr="00351C8A">
        <w:rPr>
          <w:rFonts w:ascii="Open Sans" w:eastAsia="Times New Roman" w:hAnsi="Open Sans" w:cs="Open Sans"/>
          <w:sz w:val="24"/>
          <w:szCs w:val="24"/>
          <w:lang w:eastAsia="en-GB"/>
        </w:rPr>
        <w:t>addition,</w:t>
      </w:r>
      <w:r w:rsidR="002E341A"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 we implemented anonymised application processes for </w:t>
      </w:r>
      <w:r w:rsidR="007B6C91" w:rsidRPr="00351C8A">
        <w:rPr>
          <w:rFonts w:ascii="Open Sans" w:eastAsia="Times New Roman" w:hAnsi="Open Sans" w:cs="Open Sans"/>
          <w:sz w:val="24"/>
          <w:szCs w:val="24"/>
          <w:lang w:eastAsia="en-GB"/>
        </w:rPr>
        <w:t>professional services roles.</w:t>
      </w: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 </w:t>
      </w:r>
      <w:r w:rsidR="00B767B2"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We have also made a commitment to reviewing EDI profiles at </w:t>
      </w:r>
      <w:r w:rsidR="0007746D" w:rsidRPr="00351C8A">
        <w:rPr>
          <w:rFonts w:ascii="Open Sans" w:eastAsia="Times New Roman" w:hAnsi="Open Sans" w:cs="Open Sans"/>
          <w:sz w:val="24"/>
          <w:szCs w:val="24"/>
          <w:lang w:eastAsia="en-GB"/>
        </w:rPr>
        <w:t>various</w:t>
      </w:r>
      <w:r w:rsidR="008707C2"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 </w:t>
      </w:r>
      <w:r w:rsidR="0007746D" w:rsidRPr="00351C8A">
        <w:rPr>
          <w:rFonts w:ascii="Open Sans" w:eastAsia="Times New Roman" w:hAnsi="Open Sans" w:cs="Open Sans"/>
          <w:sz w:val="24"/>
          <w:szCs w:val="24"/>
          <w:lang w:eastAsia="en-GB"/>
        </w:rPr>
        <w:t>stages of recruitment;</w:t>
      </w:r>
      <w:r w:rsidR="008707C2"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 applications received, shortlisting and completion of interview. I</w:t>
      </w:r>
      <w:r w:rsidR="0007746D" w:rsidRPr="00351C8A">
        <w:rPr>
          <w:rFonts w:ascii="Open Sans" w:eastAsia="Times New Roman" w:hAnsi="Open Sans" w:cs="Open Sans"/>
          <w:sz w:val="24"/>
          <w:szCs w:val="24"/>
          <w:lang w:eastAsia="en-GB"/>
        </w:rPr>
        <w:t>f</w:t>
      </w:r>
      <w:r w:rsidR="008707C2"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 at any point the EDI profile is not diverse we ask the Chair of the panel to either re-advertise or t</w:t>
      </w:r>
      <w:r w:rsidR="003029D0" w:rsidRPr="00351C8A">
        <w:rPr>
          <w:rFonts w:ascii="Open Sans" w:eastAsia="Times New Roman" w:hAnsi="Open Sans" w:cs="Open Sans"/>
          <w:sz w:val="24"/>
          <w:szCs w:val="24"/>
          <w:lang w:eastAsia="en-GB"/>
        </w:rPr>
        <w:t>ake Positive Action.</w:t>
      </w:r>
    </w:p>
    <w:p w14:paraId="2A841DA7" w14:textId="1C934008" w:rsidR="00EA214C" w:rsidRPr="00351C8A" w:rsidRDefault="00435FEC" w:rsidP="00753D49">
      <w:pPr>
        <w:pStyle w:val="ListParagraph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An initial review of grade promotion and contribution related pay and conferment of academic titles procedures emphasising the point that all applications are subject to analytical </w:t>
      </w:r>
      <w:r w:rsidR="0028682F" w:rsidRPr="00351C8A">
        <w:rPr>
          <w:rFonts w:ascii="Open Sans" w:eastAsia="Times New Roman" w:hAnsi="Open Sans" w:cs="Open Sans"/>
          <w:sz w:val="24"/>
          <w:szCs w:val="24"/>
          <w:lang w:eastAsia="en-GB"/>
        </w:rPr>
        <w:t>evidence-based</w:t>
      </w: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 evaluation and that prior knowledge about the candidate will not be taken into consideration.  </w:t>
      </w:r>
      <w:r w:rsidR="00FE1F2F" w:rsidRPr="00351C8A">
        <w:rPr>
          <w:rFonts w:ascii="Open Sans" w:eastAsia="Times New Roman" w:hAnsi="Open Sans" w:cs="Open Sans"/>
          <w:sz w:val="24"/>
          <w:szCs w:val="24"/>
          <w:lang w:eastAsia="en-GB"/>
        </w:rPr>
        <w:t>The revision of the process continues.</w:t>
      </w: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   </w:t>
      </w:r>
    </w:p>
    <w:p w14:paraId="15A42D4F" w14:textId="74F85317" w:rsidR="003E7350" w:rsidRPr="00351C8A" w:rsidRDefault="003E7350" w:rsidP="0077655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>Reinforced the requirement that all people related decisions must be underpinned by factual evidence.  </w:t>
      </w:r>
    </w:p>
    <w:p w14:paraId="46259149" w14:textId="09B225A8" w:rsidR="00A64CA8" w:rsidRPr="00351C8A" w:rsidRDefault="00A64CA8" w:rsidP="00A64CA8">
      <w:pPr>
        <w:pStyle w:val="ListParagraph"/>
        <w:numPr>
          <w:ilvl w:val="0"/>
          <w:numId w:val="5"/>
        </w:numPr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School’s job evaluation software (HERA) has been periodically assessed and maintained in a robust manner with refresher training provided to all analysts.  </w:t>
      </w:r>
      <w:r w:rsidR="00E8680B"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More HERA Analysts trained to undertake </w:t>
      </w:r>
      <w:r w:rsidR="003545C0" w:rsidRPr="00351C8A">
        <w:rPr>
          <w:rFonts w:ascii="Open Sans" w:eastAsia="Times New Roman" w:hAnsi="Open Sans" w:cs="Open Sans"/>
          <w:sz w:val="24"/>
          <w:szCs w:val="24"/>
          <w:lang w:eastAsia="en-GB"/>
        </w:rPr>
        <w:t>assessments</w:t>
      </w:r>
      <w:r w:rsidR="00E8680B"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, </w:t>
      </w:r>
      <w:r w:rsidR="00763F60"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all </w:t>
      </w:r>
      <w:r w:rsidR="003545C0"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analysis of roles are being second / third scored for consistency checks. </w:t>
      </w:r>
    </w:p>
    <w:p w14:paraId="49501F53" w14:textId="1553F711" w:rsidR="00A64CA8" w:rsidRPr="00351C8A" w:rsidRDefault="00A64CA8" w:rsidP="00A64CA8">
      <w:pPr>
        <w:pStyle w:val="ListParagraph"/>
        <w:numPr>
          <w:ilvl w:val="0"/>
          <w:numId w:val="5"/>
        </w:numPr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Through higher education networks and working groups, feedback </w:t>
      </w:r>
      <w:r w:rsidR="003545C0"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provided </w:t>
      </w: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to ECC (HERA software developers) in relation to new and emerging role competencies.   </w:t>
      </w:r>
    </w:p>
    <w:p w14:paraId="555F1DB0" w14:textId="4DA4C28B" w:rsidR="00EA214C" w:rsidRPr="00DF1D08" w:rsidRDefault="00776555" w:rsidP="00DF1D08">
      <w:pPr>
        <w:pStyle w:val="ListParagraph"/>
        <w:numPr>
          <w:ilvl w:val="0"/>
          <w:numId w:val="5"/>
        </w:numPr>
        <w:jc w:val="both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>Explored pay inequalities arising from gender, race, disability, sexual orientation, religion or belief and age. </w:t>
      </w:r>
    </w:p>
    <w:p w14:paraId="0AE3EDA7" w14:textId="3A676351" w:rsidR="003E7350" w:rsidRPr="00351C8A" w:rsidRDefault="003E7350" w:rsidP="00753D49">
      <w:pPr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351C8A">
        <w:rPr>
          <w:rFonts w:ascii="Open Sans" w:eastAsia="Times New Roman" w:hAnsi="Open Sans" w:cs="Open Sans"/>
          <w:b/>
          <w:bCs/>
          <w:color w:val="70AD47"/>
          <w:sz w:val="24"/>
          <w:szCs w:val="24"/>
          <w:lang w:eastAsia="en-GB"/>
        </w:rPr>
        <w:t>Future work</w:t>
      </w:r>
    </w:p>
    <w:p w14:paraId="5F7CB202" w14:textId="1D2637F6" w:rsidR="00C43432" w:rsidRPr="00351C8A" w:rsidRDefault="00C43432" w:rsidP="00753D49">
      <w:pPr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> </w:t>
      </w:r>
    </w:p>
    <w:p w14:paraId="2D4877A6" w14:textId="686DC9A3" w:rsidR="00C43432" w:rsidRPr="00351C8A" w:rsidRDefault="0028682F" w:rsidP="00753D49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>I</w:t>
      </w:r>
      <w:r w:rsidR="00C43432" w:rsidRPr="00351C8A">
        <w:rPr>
          <w:rFonts w:ascii="Open Sans" w:eastAsia="Times New Roman" w:hAnsi="Open Sans" w:cs="Open Sans"/>
          <w:sz w:val="24"/>
          <w:szCs w:val="24"/>
          <w:lang w:eastAsia="en-GB"/>
        </w:rPr>
        <w:t>dentify female academic and professional employees that are at the top of the pay grade and offer support and guidance with regards to their career development.        </w:t>
      </w:r>
    </w:p>
    <w:p w14:paraId="5022F871" w14:textId="00E04893" w:rsidR="00C43432" w:rsidRPr="00351C8A" w:rsidRDefault="0028682F" w:rsidP="00753D49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>C</w:t>
      </w:r>
      <w:r w:rsidR="00C43432" w:rsidRPr="00351C8A">
        <w:rPr>
          <w:rFonts w:ascii="Open Sans" w:eastAsia="Times New Roman" w:hAnsi="Open Sans" w:cs="Open Sans"/>
          <w:sz w:val="24"/>
          <w:szCs w:val="24"/>
          <w:lang w:eastAsia="en-GB"/>
        </w:rPr>
        <w:t>ontinue to support the development of female professionals/academics through the Aurora Leadership Foundation programme.  To date three female workers have attended the programme</w:t>
      </w:r>
      <w:r w:rsidR="000E76D1">
        <w:rPr>
          <w:rFonts w:ascii="Open Sans" w:eastAsia="Times New Roman" w:hAnsi="Open Sans" w:cs="Open Sans"/>
          <w:sz w:val="24"/>
          <w:szCs w:val="24"/>
          <w:lang w:eastAsia="en-GB"/>
        </w:rPr>
        <w:t>.</w:t>
      </w:r>
      <w:r w:rsidR="00C43432" w:rsidRPr="00351C8A">
        <w:rPr>
          <w:rFonts w:ascii="Open Sans" w:eastAsia="Times New Roman" w:hAnsi="Open Sans" w:cs="Open Sans"/>
          <w:sz w:val="24"/>
          <w:szCs w:val="24"/>
          <w:lang w:eastAsia="en-GB"/>
        </w:rPr>
        <w:t> </w:t>
      </w:r>
    </w:p>
    <w:p w14:paraId="4856B6AF" w14:textId="35EF7EA8" w:rsidR="003E7350" w:rsidRPr="00351C8A" w:rsidRDefault="0028682F" w:rsidP="006947DD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>I</w:t>
      </w:r>
      <w:r w:rsidR="00C43432" w:rsidRPr="00351C8A">
        <w:rPr>
          <w:rFonts w:ascii="Open Sans" w:eastAsia="Times New Roman" w:hAnsi="Open Sans" w:cs="Open Sans"/>
          <w:sz w:val="24"/>
          <w:szCs w:val="24"/>
          <w:lang w:eastAsia="en-GB"/>
        </w:rPr>
        <w:t>ntroduce a career mentoring programme for junior female staff.   </w:t>
      </w:r>
    </w:p>
    <w:p w14:paraId="75ED877A" w14:textId="29F1650A" w:rsidR="003E7350" w:rsidRPr="00351C8A" w:rsidRDefault="001D41D0" w:rsidP="00753D49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  <w:r>
        <w:rPr>
          <w:rFonts w:ascii="Open Sans" w:eastAsia="Times New Roman" w:hAnsi="Open Sans" w:cs="Open Sans"/>
          <w:sz w:val="24"/>
          <w:szCs w:val="24"/>
          <w:lang w:eastAsia="en-GB"/>
        </w:rPr>
        <w:t xml:space="preserve">The Interim Head of HR and EDI Manager will </w:t>
      </w:r>
      <w:r w:rsidR="00C43432" w:rsidRPr="00351C8A">
        <w:rPr>
          <w:rFonts w:ascii="Open Sans" w:eastAsia="Times New Roman" w:hAnsi="Open Sans" w:cs="Open Sans"/>
          <w:sz w:val="24"/>
          <w:szCs w:val="24"/>
          <w:lang w:eastAsia="en-GB"/>
        </w:rPr>
        <w:t>explore the award of Athena SWAN as accreditation of achieving a culture that is fully committed to equality</w:t>
      </w:r>
      <w:r w:rsidR="00920230">
        <w:rPr>
          <w:rFonts w:ascii="Open Sans" w:eastAsia="Times New Roman" w:hAnsi="Open Sans" w:cs="Open Sans"/>
          <w:sz w:val="24"/>
          <w:szCs w:val="24"/>
          <w:lang w:eastAsia="en-GB"/>
        </w:rPr>
        <w:t xml:space="preserve"> and create an action plan for this. </w:t>
      </w:r>
    </w:p>
    <w:p w14:paraId="141B0074" w14:textId="5FE91E78" w:rsidR="00326136" w:rsidRPr="00351C8A" w:rsidRDefault="001E7856" w:rsidP="001E785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351C8A">
        <w:rPr>
          <w:rFonts w:ascii="Open Sans" w:eastAsia="Times New Roman" w:hAnsi="Open Sans" w:cs="Open Sans"/>
          <w:sz w:val="24"/>
          <w:szCs w:val="24"/>
          <w:lang w:eastAsia="en-GB"/>
        </w:rPr>
        <w:t>In liaison with the Interim Head of HR and EDI Manager the</w:t>
      </w:r>
      <w:r w:rsidR="00C43432"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 review of family friendly policies and support for parents returning to work following maternity, paternity and parental leave</w:t>
      </w:r>
      <w:r w:rsidR="00436E20" w:rsidRPr="00351C8A">
        <w:rPr>
          <w:rFonts w:ascii="Open Sans" w:eastAsia="Times New Roman" w:hAnsi="Open Sans" w:cs="Open Sans"/>
          <w:sz w:val="24"/>
          <w:szCs w:val="24"/>
          <w:lang w:eastAsia="en-GB"/>
        </w:rPr>
        <w:t xml:space="preserve"> is yet to be done.</w:t>
      </w:r>
      <w:r w:rsidR="00C43432" w:rsidRPr="00351C8A">
        <w:rPr>
          <w:rFonts w:ascii="Open Sans" w:eastAsia="Times New Roman" w:hAnsi="Open Sans" w:cs="Open Sans"/>
          <w:sz w:val="24"/>
          <w:szCs w:val="24"/>
          <w:lang w:eastAsia="en-GB"/>
        </w:rPr>
        <w:t>      </w:t>
      </w:r>
    </w:p>
    <w:sectPr w:rsidR="00326136" w:rsidRPr="00351C8A" w:rsidSect="00011953">
      <w:pgSz w:w="11906" w:h="16838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gertyInline">
    <w:altName w:val="Calibri"/>
    <w:charset w:val="00"/>
    <w:family w:val="swiss"/>
    <w:pitch w:val="variable"/>
    <w:sig w:usb0="A00000AF" w:usb1="5000205B" w:usb2="00000000" w:usb3="00000000" w:csb0="00000093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775AC9"/>
    <w:multiLevelType w:val="multilevel"/>
    <w:tmpl w:val="15829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B5C666F"/>
    <w:multiLevelType w:val="multilevel"/>
    <w:tmpl w:val="FA1A5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72A514F"/>
    <w:multiLevelType w:val="multilevel"/>
    <w:tmpl w:val="F8F8E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CFB161B"/>
    <w:multiLevelType w:val="hybridMultilevel"/>
    <w:tmpl w:val="90D25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B6A82"/>
    <w:multiLevelType w:val="multilevel"/>
    <w:tmpl w:val="77C8B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01843391">
    <w:abstractNumId w:val="2"/>
  </w:num>
  <w:num w:numId="2" w16cid:durableId="1309438274">
    <w:abstractNumId w:val="4"/>
  </w:num>
  <w:num w:numId="3" w16cid:durableId="1808624756">
    <w:abstractNumId w:val="1"/>
  </w:num>
  <w:num w:numId="4" w16cid:durableId="2094542789">
    <w:abstractNumId w:val="0"/>
  </w:num>
  <w:num w:numId="5" w16cid:durableId="16742555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F71"/>
    <w:rsid w:val="0000034A"/>
    <w:rsid w:val="00003BB4"/>
    <w:rsid w:val="00011953"/>
    <w:rsid w:val="00052AAA"/>
    <w:rsid w:val="000649D9"/>
    <w:rsid w:val="0007126B"/>
    <w:rsid w:val="00074E07"/>
    <w:rsid w:val="0007746D"/>
    <w:rsid w:val="000900B3"/>
    <w:rsid w:val="000938A6"/>
    <w:rsid w:val="0009517E"/>
    <w:rsid w:val="0009751D"/>
    <w:rsid w:val="000D33AC"/>
    <w:rsid w:val="000E76D1"/>
    <w:rsid w:val="00123EFE"/>
    <w:rsid w:val="00124BF5"/>
    <w:rsid w:val="00126DDF"/>
    <w:rsid w:val="00127B15"/>
    <w:rsid w:val="00147A97"/>
    <w:rsid w:val="0015679B"/>
    <w:rsid w:val="0016591F"/>
    <w:rsid w:val="00175DC4"/>
    <w:rsid w:val="0019017E"/>
    <w:rsid w:val="0019536B"/>
    <w:rsid w:val="001A2209"/>
    <w:rsid w:val="001C1E60"/>
    <w:rsid w:val="001D41D0"/>
    <w:rsid w:val="001E43B5"/>
    <w:rsid w:val="001E7578"/>
    <w:rsid w:val="001E7856"/>
    <w:rsid w:val="001F6BD4"/>
    <w:rsid w:val="00200DD1"/>
    <w:rsid w:val="00212BF7"/>
    <w:rsid w:val="00240785"/>
    <w:rsid w:val="0026297C"/>
    <w:rsid w:val="00271D02"/>
    <w:rsid w:val="0028682F"/>
    <w:rsid w:val="00291841"/>
    <w:rsid w:val="002A138B"/>
    <w:rsid w:val="002E0BC2"/>
    <w:rsid w:val="002E341A"/>
    <w:rsid w:val="002E6873"/>
    <w:rsid w:val="002E7A61"/>
    <w:rsid w:val="002F3F92"/>
    <w:rsid w:val="00302905"/>
    <w:rsid w:val="003029D0"/>
    <w:rsid w:val="0031317F"/>
    <w:rsid w:val="003153AC"/>
    <w:rsid w:val="00326136"/>
    <w:rsid w:val="00351C8A"/>
    <w:rsid w:val="003545C0"/>
    <w:rsid w:val="003D4BFB"/>
    <w:rsid w:val="003E7350"/>
    <w:rsid w:val="004000ED"/>
    <w:rsid w:val="00404116"/>
    <w:rsid w:val="00435FEC"/>
    <w:rsid w:val="00436E20"/>
    <w:rsid w:val="00474AE2"/>
    <w:rsid w:val="004758D9"/>
    <w:rsid w:val="00495186"/>
    <w:rsid w:val="004A2741"/>
    <w:rsid w:val="004A32EA"/>
    <w:rsid w:val="004B42DA"/>
    <w:rsid w:val="004D1048"/>
    <w:rsid w:val="004D4A3A"/>
    <w:rsid w:val="004D5F05"/>
    <w:rsid w:val="004E239A"/>
    <w:rsid w:val="004F45F4"/>
    <w:rsid w:val="00513F07"/>
    <w:rsid w:val="00554F07"/>
    <w:rsid w:val="005717B9"/>
    <w:rsid w:val="005A05E5"/>
    <w:rsid w:val="005B0F2A"/>
    <w:rsid w:val="00606788"/>
    <w:rsid w:val="00650833"/>
    <w:rsid w:val="00656354"/>
    <w:rsid w:val="00661C44"/>
    <w:rsid w:val="00673493"/>
    <w:rsid w:val="006922A6"/>
    <w:rsid w:val="006947DD"/>
    <w:rsid w:val="0069600F"/>
    <w:rsid w:val="006B5995"/>
    <w:rsid w:val="006B5D78"/>
    <w:rsid w:val="006C00EE"/>
    <w:rsid w:val="006D6620"/>
    <w:rsid w:val="006F29C8"/>
    <w:rsid w:val="00753D49"/>
    <w:rsid w:val="00763F60"/>
    <w:rsid w:val="00776555"/>
    <w:rsid w:val="007B6C91"/>
    <w:rsid w:val="007C009F"/>
    <w:rsid w:val="007C2802"/>
    <w:rsid w:val="00837C0C"/>
    <w:rsid w:val="00841676"/>
    <w:rsid w:val="008707C2"/>
    <w:rsid w:val="00874B7D"/>
    <w:rsid w:val="00882F86"/>
    <w:rsid w:val="0089303C"/>
    <w:rsid w:val="008A1623"/>
    <w:rsid w:val="008C6D08"/>
    <w:rsid w:val="00907838"/>
    <w:rsid w:val="00920230"/>
    <w:rsid w:val="00922B29"/>
    <w:rsid w:val="00940654"/>
    <w:rsid w:val="00957C26"/>
    <w:rsid w:val="00957FE2"/>
    <w:rsid w:val="00977A4D"/>
    <w:rsid w:val="009819E8"/>
    <w:rsid w:val="00983B7A"/>
    <w:rsid w:val="00986214"/>
    <w:rsid w:val="009A02D2"/>
    <w:rsid w:val="009A1051"/>
    <w:rsid w:val="009B2E57"/>
    <w:rsid w:val="009C7AD5"/>
    <w:rsid w:val="009D48A9"/>
    <w:rsid w:val="009E013C"/>
    <w:rsid w:val="009F51FF"/>
    <w:rsid w:val="00A60814"/>
    <w:rsid w:val="00A61F85"/>
    <w:rsid w:val="00A64CA8"/>
    <w:rsid w:val="00A72A2C"/>
    <w:rsid w:val="00A73DEF"/>
    <w:rsid w:val="00A837DD"/>
    <w:rsid w:val="00AA2F19"/>
    <w:rsid w:val="00AA39C7"/>
    <w:rsid w:val="00AC3547"/>
    <w:rsid w:val="00B03F22"/>
    <w:rsid w:val="00B122B1"/>
    <w:rsid w:val="00B13B7E"/>
    <w:rsid w:val="00B223DA"/>
    <w:rsid w:val="00B47370"/>
    <w:rsid w:val="00B50968"/>
    <w:rsid w:val="00B767B2"/>
    <w:rsid w:val="00BB390F"/>
    <w:rsid w:val="00BD72BD"/>
    <w:rsid w:val="00C030E8"/>
    <w:rsid w:val="00C40E19"/>
    <w:rsid w:val="00C43432"/>
    <w:rsid w:val="00C540C6"/>
    <w:rsid w:val="00C6464C"/>
    <w:rsid w:val="00C834E7"/>
    <w:rsid w:val="00CA520C"/>
    <w:rsid w:val="00CB3C4F"/>
    <w:rsid w:val="00CB7069"/>
    <w:rsid w:val="00CC0F53"/>
    <w:rsid w:val="00CC3DB9"/>
    <w:rsid w:val="00CE077E"/>
    <w:rsid w:val="00CF0146"/>
    <w:rsid w:val="00D12CD6"/>
    <w:rsid w:val="00D21AB5"/>
    <w:rsid w:val="00D319D4"/>
    <w:rsid w:val="00D728C0"/>
    <w:rsid w:val="00D82EA7"/>
    <w:rsid w:val="00DE21A2"/>
    <w:rsid w:val="00DF0B1A"/>
    <w:rsid w:val="00DF1D08"/>
    <w:rsid w:val="00DF1F64"/>
    <w:rsid w:val="00E1279D"/>
    <w:rsid w:val="00E34E25"/>
    <w:rsid w:val="00E3649D"/>
    <w:rsid w:val="00E54364"/>
    <w:rsid w:val="00E70B83"/>
    <w:rsid w:val="00E8680B"/>
    <w:rsid w:val="00EA214C"/>
    <w:rsid w:val="00EE4CB2"/>
    <w:rsid w:val="00EF02F7"/>
    <w:rsid w:val="00EF03FE"/>
    <w:rsid w:val="00EF6883"/>
    <w:rsid w:val="00F02B17"/>
    <w:rsid w:val="00F35E8D"/>
    <w:rsid w:val="00F90975"/>
    <w:rsid w:val="00FB2372"/>
    <w:rsid w:val="00FB7061"/>
    <w:rsid w:val="00FE0F71"/>
    <w:rsid w:val="00FE1F2F"/>
    <w:rsid w:val="00FE6F90"/>
    <w:rsid w:val="00FF5909"/>
    <w:rsid w:val="0730FC64"/>
    <w:rsid w:val="090D3215"/>
    <w:rsid w:val="108636C0"/>
    <w:rsid w:val="170A86DA"/>
    <w:rsid w:val="1AF5F981"/>
    <w:rsid w:val="2789DDC0"/>
    <w:rsid w:val="2CB6F055"/>
    <w:rsid w:val="39A7A039"/>
    <w:rsid w:val="437AE889"/>
    <w:rsid w:val="449A99E5"/>
    <w:rsid w:val="583EC09D"/>
    <w:rsid w:val="60F29F37"/>
    <w:rsid w:val="6B160207"/>
    <w:rsid w:val="70627E1B"/>
    <w:rsid w:val="73E9CD24"/>
    <w:rsid w:val="77A1A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90EAD"/>
  <w15:chartTrackingRefBased/>
  <w15:docId w15:val="{4E6EE882-C7EE-4362-A6A3-3109B4697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E0F71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FogertyInline" w:eastAsia="FogertyInline" w:hAnsi="FogertyInline" w:cs="FogertyInline"/>
      <w:b/>
      <w:bCs/>
      <w:sz w:val="32"/>
      <w:szCs w:val="32"/>
      <w:lang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E0F7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F7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E0F71"/>
    <w:rPr>
      <w:rFonts w:ascii="FogertyInline" w:eastAsia="FogertyInline" w:hAnsi="FogertyInline" w:cs="FogertyInline"/>
      <w:b/>
      <w:bCs/>
      <w:sz w:val="32"/>
      <w:szCs w:val="32"/>
      <w:lang w:eastAsia="en-GB" w:bidi="en-GB"/>
    </w:rPr>
  </w:style>
  <w:style w:type="paragraph" w:styleId="BodyText">
    <w:name w:val="Body Text"/>
    <w:basedOn w:val="Normal"/>
    <w:link w:val="BodyTextChar"/>
    <w:uiPriority w:val="1"/>
    <w:qFormat/>
    <w:rsid w:val="00FE0F71"/>
    <w:pPr>
      <w:widowControl w:val="0"/>
      <w:autoSpaceDE w:val="0"/>
      <w:autoSpaceDN w:val="0"/>
      <w:spacing w:after="0" w:line="240" w:lineRule="auto"/>
    </w:pPr>
    <w:rPr>
      <w:rFonts w:ascii="Open Sans" w:eastAsia="Open Sans" w:hAnsi="Open Sans" w:cs="Open Sans"/>
      <w:sz w:val="18"/>
      <w:szCs w:val="18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FE0F71"/>
    <w:rPr>
      <w:rFonts w:ascii="Open Sans" w:eastAsia="Open Sans" w:hAnsi="Open Sans" w:cs="Open Sans"/>
      <w:sz w:val="18"/>
      <w:szCs w:val="18"/>
      <w:lang w:eastAsia="en-GB" w:bidi="en-GB"/>
    </w:rPr>
  </w:style>
  <w:style w:type="paragraph" w:customStyle="1" w:styleId="paragraph">
    <w:name w:val="paragraph"/>
    <w:basedOn w:val="Normal"/>
    <w:rsid w:val="00C43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C43432"/>
  </w:style>
  <w:style w:type="character" w:customStyle="1" w:styleId="eop">
    <w:name w:val="eop"/>
    <w:basedOn w:val="DefaultParagraphFont"/>
    <w:rsid w:val="00C43432"/>
  </w:style>
  <w:style w:type="paragraph" w:styleId="ListParagraph">
    <w:name w:val="List Paragraph"/>
    <w:basedOn w:val="Normal"/>
    <w:uiPriority w:val="34"/>
    <w:qFormat/>
    <w:rsid w:val="00EF02F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406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06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06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06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065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406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7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1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0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2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1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8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7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5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141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8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3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24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5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6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1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65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28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2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11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2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00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71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19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7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55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7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9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8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75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3.xml"/><Relationship Id="rId5" Type="http://schemas.openxmlformats.org/officeDocument/2006/relationships/styles" Target="styles.xml"/><Relationship Id="rId10" Type="http://schemas.openxmlformats.org/officeDocument/2006/relationships/chart" Target="charts/chart2.xml"/><Relationship Id="rId4" Type="http://schemas.openxmlformats.org/officeDocument/2006/relationships/numbering" Target="numbering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Open Sans" panose="020B0606030504020204" pitchFamily="34" charset="0"/>
                <a:ea typeface="Open Sans" panose="020B0606030504020204" pitchFamily="34" charset="0"/>
                <a:cs typeface="Open Sans" panose="020B0606030504020204" pitchFamily="34" charset="0"/>
              </a:defRPr>
            </a:pPr>
            <a:r>
              <a:rPr lang="en-GB">
                <a:latin typeface="Open Sans" panose="020B0606030504020204" pitchFamily="34" charset="0"/>
                <a:ea typeface="Open Sans" panose="020B0606030504020204" pitchFamily="34" charset="0"/>
                <a:cs typeface="Open Sans" panose="020B0606030504020204" pitchFamily="34" charset="0"/>
              </a:rPr>
              <a:t>Gender pay gap trend 2017 - 2022</a:t>
            </a:r>
          </a:p>
          <a:p>
            <a:pPr>
              <a:defRPr>
                <a:latin typeface="Open Sans" panose="020B0606030504020204" pitchFamily="34" charset="0"/>
                <a:ea typeface="Open Sans" panose="020B0606030504020204" pitchFamily="34" charset="0"/>
                <a:cs typeface="Open Sans" panose="020B0606030504020204" pitchFamily="34" charset="0"/>
              </a:defRPr>
            </a:pPr>
            <a:r>
              <a:rPr lang="en-GB">
                <a:latin typeface="Open Sans" panose="020B0606030504020204" pitchFamily="34" charset="0"/>
                <a:ea typeface="Open Sans" panose="020B0606030504020204" pitchFamily="34" charset="0"/>
                <a:cs typeface="Open Sans" panose="020B0606030504020204" pitchFamily="34" charset="0"/>
              </a:rPr>
              <a:t>6 reporting years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'Pay trend'!$B$1</c:f>
              <c:strCache>
                <c:ptCount val="1"/>
                <c:pt idx="0">
                  <c:v>The Mean gender pay gap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'Pay trend'!$A$2:$A$7</c:f>
              <c:numCache>
                <c:formatCode>d\-mmm\-yy</c:formatCode>
                <c:ptCount val="6"/>
                <c:pt idx="0">
                  <c:v>42825</c:v>
                </c:pt>
                <c:pt idx="1">
                  <c:v>43190</c:v>
                </c:pt>
                <c:pt idx="2">
                  <c:v>43555</c:v>
                </c:pt>
                <c:pt idx="3">
                  <c:v>43921</c:v>
                </c:pt>
                <c:pt idx="4">
                  <c:v>44286</c:v>
                </c:pt>
                <c:pt idx="5">
                  <c:v>44651</c:v>
                </c:pt>
              </c:numCache>
            </c:numRef>
          </c:cat>
          <c:val>
            <c:numRef>
              <c:f>'Pay trend'!$B$2:$B$7</c:f>
              <c:numCache>
                <c:formatCode>0.00%</c:formatCode>
                <c:ptCount val="6"/>
                <c:pt idx="0">
                  <c:v>2.5000000000000001E-2</c:v>
                </c:pt>
                <c:pt idx="1">
                  <c:v>1.0999999999999999E-2</c:v>
                </c:pt>
                <c:pt idx="2">
                  <c:v>4.9000000000000002E-2</c:v>
                </c:pt>
                <c:pt idx="3">
                  <c:v>4.4999999999999998E-2</c:v>
                </c:pt>
                <c:pt idx="4">
                  <c:v>-6.0999999999999999E-2</c:v>
                </c:pt>
                <c:pt idx="5">
                  <c:v>-1.6E-2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7AD-4A2B-A264-73CEB1B20964}"/>
            </c:ext>
          </c:extLst>
        </c:ser>
        <c:ser>
          <c:idx val="1"/>
          <c:order val="1"/>
          <c:tx>
            <c:strRef>
              <c:f>'Pay trend'!$C$1</c:f>
              <c:strCache>
                <c:ptCount val="1"/>
                <c:pt idx="0">
                  <c:v>The Median gender pay gap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'Pay trend'!$A$2:$A$7</c:f>
              <c:numCache>
                <c:formatCode>d\-mmm\-yy</c:formatCode>
                <c:ptCount val="6"/>
                <c:pt idx="0">
                  <c:v>42825</c:v>
                </c:pt>
                <c:pt idx="1">
                  <c:v>43190</c:v>
                </c:pt>
                <c:pt idx="2">
                  <c:v>43555</c:v>
                </c:pt>
                <c:pt idx="3">
                  <c:v>43921</c:v>
                </c:pt>
                <c:pt idx="4">
                  <c:v>44286</c:v>
                </c:pt>
                <c:pt idx="5">
                  <c:v>44651</c:v>
                </c:pt>
              </c:numCache>
            </c:numRef>
          </c:cat>
          <c:val>
            <c:numRef>
              <c:f>'Pay trend'!$C$2:$C$7</c:f>
              <c:numCache>
                <c:formatCode>0.00%</c:formatCode>
                <c:ptCount val="6"/>
                <c:pt idx="0">
                  <c:v>-1.9E-2</c:v>
                </c:pt>
                <c:pt idx="1">
                  <c:v>3.2000000000000001E-2</c:v>
                </c:pt>
                <c:pt idx="2">
                  <c:v>6.2E-2</c:v>
                </c:pt>
                <c:pt idx="3">
                  <c:v>5.1999999999999998E-2</c:v>
                </c:pt>
                <c:pt idx="4">
                  <c:v>-5.6000000000000001E-2</c:v>
                </c:pt>
                <c:pt idx="5">
                  <c:v>4.0999999999999995E-2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7AD-4A2B-A264-73CEB1B209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40477087"/>
        <c:axId val="740475423"/>
      </c:lineChart>
      <c:dateAx>
        <c:axId val="740477087"/>
        <c:scaling>
          <c:orientation val="minMax"/>
        </c:scaling>
        <c:delete val="1"/>
        <c:axPos val="b"/>
        <c:numFmt formatCode="d\-mmm\-yy" sourceLinked="1"/>
        <c:majorTickMark val="out"/>
        <c:minorTickMark val="none"/>
        <c:tickLblPos val="nextTo"/>
        <c:crossAx val="740475423"/>
        <c:crosses val="autoZero"/>
        <c:auto val="1"/>
        <c:lblOffset val="100"/>
        <c:baseTimeUnit val="years"/>
      </c:dateAx>
      <c:valAx>
        <c:axId val="7404754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404770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013973811932724"/>
          <c:y val="0.1205003248862898"/>
          <c:w val="0.52986019391050521"/>
          <c:h val="0.729813561316531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Sheet4!$B$1</c:f>
              <c:strCache>
                <c:ptCount val="1"/>
                <c:pt idx="0">
                  <c:v>Female %</c:v>
                </c:pt>
              </c:strCache>
            </c:strRef>
          </c:tx>
          <c:spPr>
            <a:solidFill>
              <a:schemeClr val="accent6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37%</a:t>
                    </a:r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56B4-41FD-82B6-2186A86637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Sheet4!$A$2:$A$8</c:f>
              <c:strCache>
                <c:ptCount val="7"/>
                <c:pt idx="0">
                  <c:v>Executive and Senior Post Holders</c:v>
                </c:pt>
                <c:pt idx="1">
                  <c:v>Principal Lecturers/Readers/Heads of Department (Grade 8,9,10)</c:v>
                </c:pt>
                <c:pt idx="2">
                  <c:v>Senior Lecturers/Heads of Department (Grade 7)</c:v>
                </c:pt>
                <c:pt idx="3">
                  <c:v>Lecturers/Senior Professional/Technical Staff (Grade 6)</c:v>
                </c:pt>
                <c:pt idx="4">
                  <c:v>Associate Lecturers/Professional/Technical Staff (Grade 5)</c:v>
                </c:pt>
                <c:pt idx="5">
                  <c:v>Administrative/Technical Staff (Grade 4)</c:v>
                </c:pt>
                <c:pt idx="6">
                  <c:v>Manual/Administrative Staff (Grade 3)</c:v>
                </c:pt>
              </c:strCache>
            </c:strRef>
          </c:cat>
          <c:val>
            <c:numRef>
              <c:f>Sheet4!$B$2:$B$8</c:f>
              <c:numCache>
                <c:formatCode>0%</c:formatCode>
                <c:ptCount val="7"/>
                <c:pt idx="0">
                  <c:v>0.56999999999999995</c:v>
                </c:pt>
                <c:pt idx="1">
                  <c:v>0.56000000000000005</c:v>
                </c:pt>
                <c:pt idx="2">
                  <c:v>0.53</c:v>
                </c:pt>
                <c:pt idx="3">
                  <c:v>0.625</c:v>
                </c:pt>
                <c:pt idx="4">
                  <c:v>0.74</c:v>
                </c:pt>
                <c:pt idx="5">
                  <c:v>0.84</c:v>
                </c:pt>
                <c:pt idx="6">
                  <c:v>0.375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AC-4383-ABCA-E80200CC33FE}"/>
            </c:ext>
          </c:extLst>
        </c:ser>
        <c:ser>
          <c:idx val="1"/>
          <c:order val="1"/>
          <c:tx>
            <c:strRef>
              <c:f>Sheet4!$C$1</c:f>
              <c:strCache>
                <c:ptCount val="1"/>
                <c:pt idx="0">
                  <c:v>Male %</c:v>
                </c:pt>
              </c:strCache>
            </c:strRef>
          </c:tx>
          <c:spPr>
            <a:solidFill>
              <a:schemeClr val="accent6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Sheet4!$A$2:$A$8</c:f>
              <c:strCache>
                <c:ptCount val="7"/>
                <c:pt idx="0">
                  <c:v>Executive and Senior Post Holders</c:v>
                </c:pt>
                <c:pt idx="1">
                  <c:v>Principal Lecturers/Readers/Heads of Department (Grade 8,9,10)</c:v>
                </c:pt>
                <c:pt idx="2">
                  <c:v>Senior Lecturers/Heads of Department (Grade 7)</c:v>
                </c:pt>
                <c:pt idx="3">
                  <c:v>Lecturers/Senior Professional/Technical Staff (Grade 6)</c:v>
                </c:pt>
                <c:pt idx="4">
                  <c:v>Associate Lecturers/Professional/Technical Staff (Grade 5)</c:v>
                </c:pt>
                <c:pt idx="5">
                  <c:v>Administrative/Technical Staff (Grade 4)</c:v>
                </c:pt>
                <c:pt idx="6">
                  <c:v>Manual/Administrative Staff (Grade 3)</c:v>
                </c:pt>
              </c:strCache>
            </c:strRef>
          </c:cat>
          <c:val>
            <c:numRef>
              <c:f>Sheet4!$C$2:$C$8</c:f>
              <c:numCache>
                <c:formatCode>0%</c:formatCode>
                <c:ptCount val="7"/>
                <c:pt idx="0">
                  <c:v>0.43</c:v>
                </c:pt>
                <c:pt idx="1">
                  <c:v>0.44</c:v>
                </c:pt>
                <c:pt idx="2">
                  <c:v>0.47</c:v>
                </c:pt>
                <c:pt idx="3">
                  <c:v>0.375</c:v>
                </c:pt>
                <c:pt idx="4">
                  <c:v>0.26</c:v>
                </c:pt>
                <c:pt idx="5">
                  <c:v>0.16</c:v>
                </c:pt>
                <c:pt idx="6">
                  <c:v>0.625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AC-4383-ABCA-E80200CC33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42976671"/>
        <c:axId val="742977919"/>
      </c:barChart>
      <c:catAx>
        <c:axId val="742976671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42977919"/>
        <c:crosses val="autoZero"/>
        <c:auto val="1"/>
        <c:lblAlgn val="ctr"/>
        <c:lblOffset val="100"/>
        <c:noMultiLvlLbl val="0"/>
      </c:catAx>
      <c:valAx>
        <c:axId val="742977919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7429766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Female %</c:v>
                </c:pt>
              </c:strCache>
            </c:strRef>
          </c:tx>
          <c:spPr>
            <a:solidFill>
              <a:schemeClr val="accent6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Sheet2!$A$2:$A$8</c:f>
              <c:strCache>
                <c:ptCount val="7"/>
                <c:pt idx="0">
                  <c:v>Executive and Senior Post Holders</c:v>
                </c:pt>
                <c:pt idx="1">
                  <c:v>Principal Lecturers/Readers/Heads of Department (Grade 8,9,10)</c:v>
                </c:pt>
                <c:pt idx="2">
                  <c:v>Senior Lecturers/Heads of Department (Grade 7)</c:v>
                </c:pt>
                <c:pt idx="3">
                  <c:v>Lecturers/Senior Professional/Technical Staff (Grade 6)</c:v>
                </c:pt>
                <c:pt idx="4">
                  <c:v>Associate Lecturers/Professional/Technical Staff (Grade 5)</c:v>
                </c:pt>
                <c:pt idx="5">
                  <c:v>Administrative/Technical Staff (Grade 4)</c:v>
                </c:pt>
                <c:pt idx="6">
                  <c:v>Manual/Administrative Staff (Grade 3)</c:v>
                </c:pt>
              </c:strCache>
            </c:strRef>
          </c:cat>
          <c:val>
            <c:numRef>
              <c:f>Sheet2!$B$2:$B$8</c:f>
              <c:numCache>
                <c:formatCode>0%</c:formatCode>
                <c:ptCount val="7"/>
                <c:pt idx="0">
                  <c:v>0.56999999999999995</c:v>
                </c:pt>
                <c:pt idx="1">
                  <c:v>0.56000000000000005</c:v>
                </c:pt>
                <c:pt idx="2">
                  <c:v>0.53</c:v>
                </c:pt>
                <c:pt idx="3">
                  <c:v>0.63</c:v>
                </c:pt>
                <c:pt idx="4">
                  <c:v>0.74</c:v>
                </c:pt>
                <c:pt idx="5">
                  <c:v>0.85</c:v>
                </c:pt>
                <c:pt idx="6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97-4155-B627-CC4C3FFCEF11}"/>
            </c:ext>
          </c:extLst>
        </c:ser>
        <c:ser>
          <c:idx val="1"/>
          <c:order val="1"/>
          <c:tx>
            <c:strRef>
              <c:f>Sheet2!$C$1</c:f>
              <c:strCache>
                <c:ptCount val="1"/>
                <c:pt idx="0">
                  <c:v>Male %</c:v>
                </c:pt>
              </c:strCache>
            </c:strRef>
          </c:tx>
          <c:spPr>
            <a:solidFill>
              <a:schemeClr val="accent6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Sheet2!$A$2:$A$8</c:f>
              <c:strCache>
                <c:ptCount val="7"/>
                <c:pt idx="0">
                  <c:v>Executive and Senior Post Holders</c:v>
                </c:pt>
                <c:pt idx="1">
                  <c:v>Principal Lecturers/Readers/Heads of Department (Grade 8,9,10)</c:v>
                </c:pt>
                <c:pt idx="2">
                  <c:v>Senior Lecturers/Heads of Department (Grade 7)</c:v>
                </c:pt>
                <c:pt idx="3">
                  <c:v>Lecturers/Senior Professional/Technical Staff (Grade 6)</c:v>
                </c:pt>
                <c:pt idx="4">
                  <c:v>Associate Lecturers/Professional/Technical Staff (Grade 5)</c:v>
                </c:pt>
                <c:pt idx="5">
                  <c:v>Administrative/Technical Staff (Grade 4)</c:v>
                </c:pt>
                <c:pt idx="6">
                  <c:v>Manual/Administrative Staff (Grade 3)</c:v>
                </c:pt>
              </c:strCache>
            </c:strRef>
          </c:cat>
          <c:val>
            <c:numRef>
              <c:f>Sheet2!$C$2:$C$8</c:f>
              <c:numCache>
                <c:formatCode>0%</c:formatCode>
                <c:ptCount val="7"/>
                <c:pt idx="0">
                  <c:v>0.43</c:v>
                </c:pt>
                <c:pt idx="1">
                  <c:v>0.44</c:v>
                </c:pt>
                <c:pt idx="2">
                  <c:v>0.47</c:v>
                </c:pt>
                <c:pt idx="3">
                  <c:v>0.37</c:v>
                </c:pt>
                <c:pt idx="4">
                  <c:v>0.26</c:v>
                </c:pt>
                <c:pt idx="5">
                  <c:v>0.15</c:v>
                </c:pt>
                <c:pt idx="6">
                  <c:v>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97-4155-B627-CC4C3FFCEF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07670992"/>
        <c:axId val="1707681392"/>
      </c:barChart>
      <c:catAx>
        <c:axId val="1707670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7681392"/>
        <c:crosses val="autoZero"/>
        <c:auto val="1"/>
        <c:lblAlgn val="ctr"/>
        <c:lblOffset val="100"/>
        <c:noMultiLvlLbl val="0"/>
      </c:catAx>
      <c:valAx>
        <c:axId val="1707681392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707670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3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0.74276</cdr:x>
      <cdr:y>0.08233</cdr:y>
    </cdr:from>
    <cdr:to>
      <cdr:x>0.74392</cdr:x>
      <cdr:y>0.87751</cdr:y>
    </cdr:to>
    <cdr:cxnSp macro="">
      <cdr:nvCxnSpPr>
        <cdr:cNvPr id="3" name="Straight Connector 2"/>
        <cdr:cNvCxnSpPr/>
      </cdr:nvCxnSpPr>
      <cdr:spPr>
        <a:xfrm xmlns:a="http://schemas.openxmlformats.org/drawingml/2006/main">
          <a:off x="4884420" y="312420"/>
          <a:ext cx="7620" cy="3017520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FFC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0.76233</cdr:x>
      <cdr:y>0</cdr:y>
    </cdr:from>
    <cdr:to>
      <cdr:x>0.76308</cdr:x>
      <cdr:y>0.90196</cdr:y>
    </cdr:to>
    <cdr:cxnSp macro="">
      <cdr:nvCxnSpPr>
        <cdr:cNvPr id="2" name="Straight Connector 1"/>
        <cdr:cNvCxnSpPr/>
      </cdr:nvCxnSpPr>
      <cdr:spPr>
        <a:xfrm xmlns:a="http://schemas.openxmlformats.org/drawingml/2006/main" flipH="1">
          <a:off x="4857750" y="0"/>
          <a:ext cx="4762" cy="2628900"/>
        </a:xfrm>
        <a:prstGeom xmlns:a="http://schemas.openxmlformats.org/drawingml/2006/main" prst="line">
          <a:avLst/>
        </a:prstGeom>
        <a:ln xmlns:a="http://schemas.openxmlformats.org/drawingml/2006/main" w="38100">
          <a:solidFill>
            <a:schemeClr val="accent4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DEB97755395B45B5682F6D19ECE5EB" ma:contentTypeVersion="14" ma:contentTypeDescription="Create a new document." ma:contentTypeScope="" ma:versionID="3a1a94e4bb5a52995e3bb2468e3e2d3a">
  <xsd:schema xmlns:xsd="http://www.w3.org/2001/XMLSchema" xmlns:xs="http://www.w3.org/2001/XMLSchema" xmlns:p="http://schemas.microsoft.com/office/2006/metadata/properties" xmlns:ns2="6b5f59fd-32e9-4da7-bda8-6f7b887845be" xmlns:ns3="2e9c1ac3-bf64-4df3-acb8-40f7ae5984e3" targetNamespace="http://schemas.microsoft.com/office/2006/metadata/properties" ma:root="true" ma:fieldsID="76c9308b3b7838c521df3e379aabfbbc" ns2:_="" ns3:_="">
    <xsd:import namespace="6b5f59fd-32e9-4da7-bda8-6f7b887845be"/>
    <xsd:import namespace="2e9c1ac3-bf64-4df3-acb8-40f7ae5984e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f59fd-32e9-4da7-bda8-6f7b887845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e49b3ec3-9056-4440-90c2-f3d47d14536d}" ma:internalName="TaxCatchAll" ma:showField="CatchAllData" ma:web="6b5f59fd-32e9-4da7-bda8-6f7b887845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c1ac3-bf64-4df3-acb8-40f7ae598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f7bccb4-bb2b-4c82-8b40-5bbce7c962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AEA869-B52F-4739-8955-270363FE36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063D51-260F-4C9F-B8B2-A5D6B5E12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5f59fd-32e9-4da7-bda8-6f7b887845be"/>
    <ds:schemaRef ds:uri="2e9c1ac3-bf64-4df3-acb8-40f7ae5984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CE1386-7B04-4BFF-9F16-268B0B387C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1046</Words>
  <Characters>5964</Characters>
  <Application>Microsoft Office Word</Application>
  <DocSecurity>4</DocSecurity>
  <Lines>49</Lines>
  <Paragraphs>13</Paragraphs>
  <ScaleCrop>false</ScaleCrop>
  <Company/>
  <LinksUpToDate>false</LinksUpToDate>
  <CharactersWithSpaces>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Nuala Conway</dc:creator>
  <cp:keywords/>
  <dc:description/>
  <cp:lastModifiedBy>Tahera Khatun</cp:lastModifiedBy>
  <cp:revision>71</cp:revision>
  <cp:lastPrinted>2022-03-02T02:00:00Z</cp:lastPrinted>
  <dcterms:created xsi:type="dcterms:W3CDTF">2022-10-28T01:51:00Z</dcterms:created>
  <dcterms:modified xsi:type="dcterms:W3CDTF">2023-03-16T16:20:00Z</dcterms:modified>
</cp:coreProperties>
</file>